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4005184F" w:rsidR="00A35B05" w:rsidRDefault="00A35B05">
      <w:pPr>
        <w:rPr>
          <w:rFonts w:ascii="Microsoft Sans Serif" w:hAnsi="Microsoft Sans Serif"/>
          <w:sz w:val="21"/>
        </w:rPr>
      </w:pPr>
    </w:p>
    <w:p w14:paraId="1E827534" w14:textId="0386143D" w:rsidR="00A35B05" w:rsidRDefault="00A35B05">
      <w:pPr>
        <w:rPr>
          <w:rFonts w:ascii="Microsoft Sans Serif" w:hAnsi="Microsoft Sans Serif"/>
          <w:sz w:val="21"/>
        </w:rPr>
      </w:pPr>
    </w:p>
    <w:p w14:paraId="49C30F6C" w14:textId="47CDD1FD" w:rsidR="00A35B05" w:rsidRPr="00A35B05" w:rsidRDefault="00A35B05" w:rsidP="00A35B05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bidi="ar-SA"/>
        </w:rPr>
      </w:pPr>
      <w:r w:rsidRPr="00A35B05">
        <w:rPr>
          <w:rFonts w:ascii="Georgia" w:eastAsia="Times New Roman" w:hAnsi="Georgia" w:cs="Times New Roman"/>
          <w:b/>
          <w:color w:val="000000"/>
          <w:sz w:val="28"/>
          <w:szCs w:val="28"/>
          <w:lang w:bidi="ar-SA"/>
        </w:rPr>
        <w:t>Полная информация о продукте</w:t>
      </w:r>
    </w:p>
    <w:p w14:paraId="0477EF6B" w14:textId="028ABA00" w:rsidR="00A35B05" w:rsidRDefault="00A35B05" w:rsidP="00A35B05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Можно выделить следующие основные достоинства продукции ООО «Сентябрь».</w:t>
      </w:r>
    </w:p>
    <w:p w14:paraId="0828877C" w14:textId="77777777" w:rsidR="00A35B05" w:rsidRDefault="00A35B05" w:rsidP="00A35B05">
      <w:pPr>
        <w:pStyle w:val="a5"/>
        <w:numPr>
          <w:ilvl w:val="0"/>
          <w:numId w:val="4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дизайн</w:t>
      </w:r>
    </w:p>
    <w:p w14:paraId="15E25415" w14:textId="77777777" w:rsidR="00A35B05" w:rsidRDefault="00A35B05" w:rsidP="00A35B05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Продукция создается известными итальянскими специалистами и при сохранении классической формы отражают большинство современных модных тенденций в дизайне мебели.</w:t>
      </w:r>
    </w:p>
    <w:p w14:paraId="26C06E65" w14:textId="77777777" w:rsidR="00A35B05" w:rsidRDefault="00A35B05" w:rsidP="00A35B05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Особый вид мебели придают зеркала с фацетом производства Бельгии, а также зеркала с красивым рисунком, нанесенным с помощью специального итальянского оборудования.</w:t>
      </w:r>
    </w:p>
    <w:p w14:paraId="3F57F0A4" w14:textId="77777777" w:rsidR="00A35B05" w:rsidRDefault="00A35B05" w:rsidP="00A35B05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4-й специализированной выставке «Мебель России» в г. Москве в 2007 году спальный гарнитур «Европа Милан-2» был отмечен в номинации «Лучшая дизайнерская разработка».</w:t>
      </w:r>
    </w:p>
    <w:p w14:paraId="2BB7885D" w14:textId="77777777" w:rsidR="00A35B05" w:rsidRDefault="00A35B05" w:rsidP="00A35B05">
      <w:pPr>
        <w:pStyle w:val="a5"/>
        <w:numPr>
          <w:ilvl w:val="0"/>
          <w:numId w:val="5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качество</w:t>
      </w:r>
    </w:p>
    <w:p w14:paraId="3AF727E2" w14:textId="3DFDA450" w:rsidR="00A35B05" w:rsidRDefault="00A35B05" w:rsidP="00A35B05">
      <w:pPr>
        <w:pStyle w:val="a5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производстве мебели заявление о высоком качестве – это не просто рекламный ход, а характеристика, состоящая из совокупности конкретных параметров, определяющих срок службы и степень комфорта в использовании приобретаемого товара. Именно поэтому при производстве мебели мы используются высококачественные комплектующие. Так, двери шкафа и </w:t>
      </w:r>
      <w:proofErr w:type="spellStart"/>
      <w:r>
        <w:rPr>
          <w:rFonts w:ascii="Georgia" w:hAnsi="Georgia"/>
          <w:color w:val="000000"/>
        </w:rPr>
        <w:t>шуфляды</w:t>
      </w:r>
      <w:proofErr w:type="spellEnd"/>
      <w:r>
        <w:rPr>
          <w:rFonts w:ascii="Georgia" w:hAnsi="Georgia"/>
          <w:color w:val="000000"/>
        </w:rPr>
        <w:t xml:space="preserve"> комода, а также тумбочек открываются за счет бесшумных петель и направляющих фирмы «</w:t>
      </w:r>
      <w:proofErr w:type="spellStart"/>
      <w:r>
        <w:rPr>
          <w:rFonts w:ascii="Georgia" w:hAnsi="Georgia"/>
          <w:color w:val="000000"/>
        </w:rPr>
        <w:t>Ferrari</w:t>
      </w:r>
      <w:proofErr w:type="spellEnd"/>
      <w:r>
        <w:rPr>
          <w:rFonts w:ascii="Georgia" w:hAnsi="Georgia"/>
          <w:color w:val="000000"/>
        </w:rPr>
        <w:t>» (Италия), устанавливаемых даже на известные во всем мире итальянские кухни «</w:t>
      </w:r>
      <w:proofErr w:type="spellStart"/>
      <w:r>
        <w:rPr>
          <w:rFonts w:ascii="Georgia" w:hAnsi="Georgia"/>
          <w:color w:val="000000"/>
        </w:rPr>
        <w:t>Scavolini</w:t>
      </w:r>
      <w:proofErr w:type="spellEnd"/>
      <w:r>
        <w:rPr>
          <w:rFonts w:ascii="Georgia" w:hAnsi="Georgia"/>
          <w:color w:val="000000"/>
        </w:rPr>
        <w:t>», что подтверждает их высокое качество. Все мебельные гарнитуры изготавливаются из ламинированной плиты производства «Карелия ДСП», являющимся лучшим в России производителем мебельных плит. Карнизы, двери, спинки кроватей, боковины комодов и тумбочек украшены профилями МДФ. Все видимые кромки облицованы кромками ПВХ фирмы «</w:t>
      </w:r>
      <w:proofErr w:type="spellStart"/>
      <w:r>
        <w:rPr>
          <w:rFonts w:ascii="Georgia" w:hAnsi="Georgia"/>
          <w:color w:val="000000"/>
        </w:rPr>
        <w:t>Rehau</w:t>
      </w:r>
      <w:proofErr w:type="spellEnd"/>
      <w:r>
        <w:rPr>
          <w:rFonts w:ascii="Georgia" w:hAnsi="Georgia"/>
          <w:color w:val="000000"/>
        </w:rPr>
        <w:t>» (Германия). Спинки кроватей, крышки комодов, тумбочек и туалетного столика также облицованы 2-х миллиметровой кромкой ПВХ. Все комплекты мебели собираются на эксцентриковых стяжках фирмы «</w:t>
      </w:r>
      <w:proofErr w:type="spellStart"/>
      <w:r>
        <w:rPr>
          <w:rFonts w:ascii="Georgia" w:hAnsi="Georgia"/>
          <w:color w:val="000000"/>
        </w:rPr>
        <w:t>Hafele</w:t>
      </w:r>
      <w:proofErr w:type="spellEnd"/>
      <w:r>
        <w:rPr>
          <w:rFonts w:ascii="Georgia" w:hAnsi="Georgia"/>
          <w:color w:val="000000"/>
        </w:rPr>
        <w:t>» (Германия). Ручки и полкодержатели также производятся в Италии и обеспечивают как надежность всей конструкции, так и эстетику формы. Также следует отметить, что для производства мебели применяется современное оборудование, которое закупалось интегрированными комплексами у ведущих производителей из Германии и Италии, что также помогает достичь наивысшего качества всей продукции.</w:t>
      </w:r>
    </w:p>
    <w:p w14:paraId="469573E5" w14:textId="77777777" w:rsidR="00A35B05" w:rsidRDefault="00A35B05" w:rsidP="00A35B05">
      <w:pPr>
        <w:pStyle w:val="a5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</w:p>
    <w:p w14:paraId="36C1E99C" w14:textId="77777777" w:rsidR="00A35B05" w:rsidRDefault="00A35B05" w:rsidP="00A35B05">
      <w:pPr>
        <w:pStyle w:val="a5"/>
        <w:numPr>
          <w:ilvl w:val="0"/>
          <w:numId w:val="6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комфорт</w:t>
      </w:r>
    </w:p>
    <w:p w14:paraId="482BDDB6" w14:textId="77777777" w:rsidR="00A35B05" w:rsidRDefault="00A35B05" w:rsidP="00A35B05">
      <w:pPr>
        <w:pStyle w:val="a5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Мебель компании «Сентябрь» не только отличается хорошим дизайном и изготавливается из высококачественных материалов, но и отвечает требованиям удобства и комфорта при ее использовании. Например, кровати спальных гарнитурах могут укомплектоваться ортопедической решеткой и ортопедическим матрацем с жаккардовой тканью. Серия гарнитуров «Европа» предлагает широкий выбор различных шкафов, как с распашными дверями, так и шкафов купе.</w:t>
      </w:r>
    </w:p>
    <w:p w14:paraId="55E5795D" w14:textId="77777777" w:rsidR="00A35B05" w:rsidRDefault="00A35B05" w:rsidP="00A35B05">
      <w:pPr>
        <w:pStyle w:val="a5"/>
        <w:numPr>
          <w:ilvl w:val="0"/>
          <w:numId w:val="7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упаковка</w:t>
      </w:r>
    </w:p>
    <w:p w14:paraId="5F6DD45A" w14:textId="77777777" w:rsidR="00A35B05" w:rsidRDefault="00A35B05" w:rsidP="00A35B05">
      <w:pPr>
        <w:pStyle w:val="a5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Все детали мебели упаковываются в трехслойный </w:t>
      </w:r>
      <w:proofErr w:type="spellStart"/>
      <w:r>
        <w:rPr>
          <w:rFonts w:ascii="Georgia" w:hAnsi="Georgia"/>
          <w:color w:val="000000"/>
        </w:rPr>
        <w:t>гофрокартон</w:t>
      </w:r>
      <w:proofErr w:type="spellEnd"/>
      <w:r>
        <w:rPr>
          <w:rFonts w:ascii="Georgia" w:hAnsi="Georgia"/>
          <w:color w:val="000000"/>
        </w:rPr>
        <w:t>, а фасады и детали, облицованные профилями МДФ, в специальную пузырчатую пленку, и перетягиваются специальными лентами, что позволяет доставить их до покупателя в идеальном состоянии.</w:t>
      </w:r>
    </w:p>
    <w:p w14:paraId="13786C4C" w14:textId="77777777" w:rsidR="00A35B05" w:rsidRDefault="00A35B05" w:rsidP="00A35B05">
      <w:pPr>
        <w:pStyle w:val="a5"/>
        <w:numPr>
          <w:ilvl w:val="0"/>
          <w:numId w:val="8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стоимость</w:t>
      </w:r>
    </w:p>
    <w:p w14:paraId="0DDF4CCB" w14:textId="77777777" w:rsidR="00A35B05" w:rsidRDefault="00A35B05" w:rsidP="00A35B05">
      <w:pPr>
        <w:pStyle w:val="a5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Цены на мебель полностью конкурентоспособны по сравнению с продукцией других российских производителей. Прайс-листы на отдельные виды продукции представлены в Приложении 2, 3.</w:t>
      </w:r>
    </w:p>
    <w:p w14:paraId="4A91CF87" w14:textId="77777777" w:rsidR="00A35B05" w:rsidRDefault="00A35B05" w:rsidP="00A35B05">
      <w:pPr>
        <w:pStyle w:val="a5"/>
        <w:numPr>
          <w:ilvl w:val="0"/>
          <w:numId w:val="9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надежность</w:t>
      </w:r>
    </w:p>
    <w:p w14:paraId="56D34855" w14:textId="77777777" w:rsidR="00A35B05" w:rsidRDefault="00A35B05" w:rsidP="00A35B05">
      <w:pPr>
        <w:pStyle w:val="a5"/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Мебель надежна в эксплуатации. Она прошла тест на проверку надежности и безопасности. Конструкция мебели обеспечивает полную безопасность: углы мебели; все закрепления сделаны очень устойчиво.</w:t>
      </w:r>
    </w:p>
    <w:p w14:paraId="27495AB9" w14:textId="77777777" w:rsidR="00A35B05" w:rsidRDefault="00A35B05">
      <w:pPr>
        <w:rPr>
          <w:rFonts w:ascii="Microsoft Sans Serif" w:hAnsi="Microsoft Sans Serif"/>
          <w:sz w:val="21"/>
        </w:rPr>
      </w:pPr>
    </w:p>
    <w:p w14:paraId="436D6456" w14:textId="77777777" w:rsidR="00A64CF3" w:rsidRDefault="00A64CF3">
      <w:pPr>
        <w:rPr>
          <w:rFonts w:ascii="Microsoft Sans Serif" w:hAnsi="Microsoft Sans Serif"/>
          <w:sz w:val="21"/>
        </w:rPr>
      </w:pPr>
    </w:p>
    <w:p w14:paraId="56AEFDE6" w14:textId="77777777" w:rsidR="00A64CF3" w:rsidRDefault="00A64CF3">
      <w:pPr>
        <w:rPr>
          <w:rFonts w:ascii="Microsoft Sans Serif" w:hAnsi="Microsoft Sans Serif"/>
          <w:sz w:val="21"/>
        </w:rPr>
      </w:pPr>
    </w:p>
    <w:p w14:paraId="124F4569" w14:textId="77777777" w:rsidR="00A64CF3" w:rsidRDefault="00A64CF3">
      <w:pPr>
        <w:rPr>
          <w:rFonts w:ascii="Microsoft Sans Serif" w:hAnsi="Microsoft Sans Serif"/>
          <w:sz w:val="21"/>
        </w:rPr>
      </w:pPr>
    </w:p>
    <w:p w14:paraId="59695561" w14:textId="77777777" w:rsidR="00A64CF3" w:rsidRDefault="00A64CF3">
      <w:pPr>
        <w:rPr>
          <w:rFonts w:ascii="Microsoft Sans Serif" w:hAnsi="Microsoft Sans Serif"/>
          <w:sz w:val="21"/>
        </w:rPr>
      </w:pPr>
    </w:p>
    <w:p w14:paraId="33C5729B" w14:textId="317DD551" w:rsidR="00443EAA" w:rsidRDefault="002D3B4C">
      <w:pPr>
        <w:rPr>
          <w:rFonts w:ascii="Microsoft Sans Serif" w:hAnsi="Microsoft Sans Serif"/>
          <w:sz w:val="21"/>
        </w:rPr>
        <w:sectPr w:rsidR="00443EAA">
          <w:type w:val="continuous"/>
          <w:pgSz w:w="11910" w:h="16840"/>
          <w:pgMar w:top="1120" w:right="1000" w:bottom="0" w:left="1020" w:header="720" w:footer="720" w:gutter="0"/>
          <w:cols w:space="720"/>
        </w:sect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4F4189FA" wp14:editId="243D9361">
            <wp:simplePos x="0" y="0"/>
            <wp:positionH relativeFrom="page">
              <wp:posOffset>7012305</wp:posOffset>
            </wp:positionH>
            <wp:positionV relativeFrom="page">
              <wp:posOffset>9144000</wp:posOffset>
            </wp:positionV>
            <wp:extent cx="333375" cy="15716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A6F63" w14:textId="47D2D41C" w:rsidR="00443EAA" w:rsidRDefault="002D3B4C">
      <w:pPr>
        <w:pStyle w:val="a3"/>
        <w:ind w:left="171"/>
        <w:rPr>
          <w:rFonts w:ascii="Microsoft Sans Serif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0" locked="0" layoutInCell="1" allowOverlap="1" wp14:anchorId="7761E13C" wp14:editId="2937D805">
            <wp:simplePos x="0" y="0"/>
            <wp:positionH relativeFrom="page">
              <wp:posOffset>2679065</wp:posOffset>
            </wp:positionH>
            <wp:positionV relativeFrom="page">
              <wp:posOffset>-8011160</wp:posOffset>
            </wp:positionV>
            <wp:extent cx="333375" cy="157162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002F4" w14:textId="07D273F3" w:rsidR="00443EAA" w:rsidRDefault="00443EAA">
      <w:pPr>
        <w:pStyle w:val="a3"/>
        <w:spacing w:before="6"/>
        <w:rPr>
          <w:rFonts w:ascii="Microsoft Sans Serif"/>
          <w:sz w:val="28"/>
        </w:rPr>
      </w:pPr>
    </w:p>
    <w:p w14:paraId="358053DC" w14:textId="77777777" w:rsidR="00443EAA" w:rsidRDefault="00443EAA">
      <w:pPr>
        <w:jc w:val="both"/>
        <w:rPr>
          <w:sz w:val="24"/>
        </w:rPr>
        <w:sectPr w:rsidR="00443EAA">
          <w:pgSz w:w="11910" w:h="16840"/>
          <w:pgMar w:top="940" w:right="1000" w:bottom="0" w:left="1020" w:header="720" w:footer="720" w:gutter="0"/>
          <w:cols w:space="720"/>
        </w:sectPr>
      </w:pPr>
    </w:p>
    <w:p w14:paraId="3A1F82AC" w14:textId="694BB7F1" w:rsidR="00443EAA" w:rsidRPr="002D3B4C" w:rsidRDefault="00443EAA" w:rsidP="002D3B4C">
      <w:pPr>
        <w:tabs>
          <w:tab w:val="left" w:pos="1260"/>
        </w:tabs>
        <w:ind w:right="128"/>
        <w:rPr>
          <w:sz w:val="24"/>
        </w:rPr>
      </w:pPr>
    </w:p>
    <w:sectPr w:rsidR="00443EAA" w:rsidRPr="002D3B4C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3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5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6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2D3B4C"/>
    <w:rsid w:val="002D3EB5"/>
    <w:rsid w:val="00356D1B"/>
    <w:rsid w:val="00443EAA"/>
    <w:rsid w:val="005F06DC"/>
    <w:rsid w:val="00613095"/>
    <w:rsid w:val="00721408"/>
    <w:rsid w:val="00802B8F"/>
    <w:rsid w:val="00890F84"/>
    <w:rsid w:val="00A12DAC"/>
    <w:rsid w:val="00A35B05"/>
    <w:rsid w:val="00A64CF3"/>
    <w:rsid w:val="00BC3D8F"/>
    <w:rsid w:val="00C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semiHidden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4</cp:revision>
  <cp:lastPrinted>2019-05-16T11:30:00Z</cp:lastPrinted>
  <dcterms:created xsi:type="dcterms:W3CDTF">2019-08-05T07:44:00Z</dcterms:created>
  <dcterms:modified xsi:type="dcterms:W3CDTF">2019-08-05T09:58:00Z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