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3CF20" w14:textId="57DC4F68" w:rsidR="00A64CF3" w:rsidRDefault="002D3B4C">
      <w:pPr>
        <w:rPr>
          <w:rFonts w:ascii="Microsoft Sans Serif" w:hAnsi="Microsoft Sans Serif"/>
          <w:sz w:val="21"/>
        </w:rPr>
      </w:pPr>
      <w:r w:rsidRPr="002D3B4C">
        <w:rPr>
          <w:rFonts w:ascii="Microsoft Sans Serif" w:hAnsi="Microsoft Sans Serif"/>
          <w:noProof/>
          <w:sz w:val="21"/>
          <w:lang w:bidi="ar-SA"/>
        </w:rPr>
        <w:drawing>
          <wp:inline distT="0" distB="0" distL="0" distR="0" wp14:anchorId="6F8D843D" wp14:editId="2316FC6B">
            <wp:extent cx="1727771" cy="22783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771" cy="22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F2CAA" w14:textId="41C1451B" w:rsidR="00A35B05" w:rsidRDefault="00A35B05">
      <w:pPr>
        <w:rPr>
          <w:rFonts w:ascii="Microsoft Sans Serif" w:hAnsi="Microsoft Sans Serif"/>
          <w:sz w:val="21"/>
        </w:rPr>
      </w:pPr>
    </w:p>
    <w:p w14:paraId="2E85045C" w14:textId="62908B6D" w:rsidR="00A35B05" w:rsidRDefault="00A35B05">
      <w:pPr>
        <w:rPr>
          <w:rFonts w:ascii="Microsoft Sans Serif" w:hAnsi="Microsoft Sans Serif"/>
          <w:sz w:val="21"/>
        </w:rPr>
      </w:pPr>
    </w:p>
    <w:p w14:paraId="224549C2" w14:textId="77777777" w:rsidR="001A7F97" w:rsidRDefault="001A7F97" w:rsidP="001A7F97">
      <w:pPr>
        <w:jc w:val="center"/>
        <w:rPr>
          <w:rFonts w:ascii="Georgia" w:hAnsi="Georgia"/>
          <w:sz w:val="28"/>
          <w:szCs w:val="28"/>
        </w:rPr>
      </w:pPr>
    </w:p>
    <w:p w14:paraId="5E41B494" w14:textId="620D763C" w:rsidR="001A7F97" w:rsidRPr="00314BCD" w:rsidRDefault="00AB084E" w:rsidP="001A7F9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Финансовый</w:t>
      </w:r>
      <w:r w:rsidR="00314BCD">
        <w:rPr>
          <w:rFonts w:ascii="Georgia" w:hAnsi="Georgia"/>
          <w:b/>
          <w:sz w:val="28"/>
          <w:szCs w:val="28"/>
        </w:rPr>
        <w:t xml:space="preserve"> план</w:t>
      </w:r>
    </w:p>
    <w:p w14:paraId="305E1547" w14:textId="24630ADA" w:rsidR="001A7F97" w:rsidRDefault="001A7F97" w:rsidP="001A7F97">
      <w:pPr>
        <w:jc w:val="center"/>
        <w:rPr>
          <w:rFonts w:ascii="Georgia" w:hAnsi="Georgia"/>
          <w:sz w:val="28"/>
          <w:szCs w:val="28"/>
        </w:rPr>
      </w:pPr>
    </w:p>
    <w:p w14:paraId="24B2716D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Экономическое состояние ООО «Сентябрь» характеризуется как стабильное.</w:t>
      </w:r>
    </w:p>
    <w:p w14:paraId="6CB63863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Так, ООО «Сентябрь» имеет продолжительную кредитную историю, все обязательства по кредитным договорам выполняются в полном объеме и установленный срок.</w:t>
      </w:r>
    </w:p>
    <w:p w14:paraId="259E2D58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В течение 2005-2009г.г. клиент пользовался большим количеством разнообразных кредитов, что было вызвано необходимостью организации производства мебели. Детализация представлена в приложении 8.</w:t>
      </w:r>
    </w:p>
    <w:p w14:paraId="403E5AB7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Ссудная задолженность ООО «Сентябрь» на 01.10.2009г. представлена в приложении 9.</w:t>
      </w:r>
    </w:p>
    <w:p w14:paraId="332AFED7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Также на 01.10.09г. действует 21 договор займа с юридическими и физическими лицами, задолженность по которым составляет 4363 тыс. руб.</w:t>
      </w:r>
    </w:p>
    <w:p w14:paraId="137F4836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В настоящее время Предприятие имеет расчетные счета в ОАО АКБ «</w:t>
      </w:r>
      <w:proofErr w:type="spellStart"/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Саровбизнесбанк</w:t>
      </w:r>
      <w:proofErr w:type="spellEnd"/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», Нижегородский филиал ОАО «ВТБ», ЗАО «ВОКБАНК», Нижегородский филиал ОАО «Ак Барс» Банк и Нижегородский филиал ОАО «Банк ЗЕНИТ». Обороты по счетам ООО «Сентябрь» представлены в таблице 5.</w:t>
      </w:r>
    </w:p>
    <w:p w14:paraId="4CAA3CFE" w14:textId="77777777" w:rsid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jc w:val="right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Таблица 5</w:t>
      </w:r>
      <w:r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 xml:space="preserve"> </w:t>
      </w:r>
    </w:p>
    <w:p w14:paraId="2E209B5B" w14:textId="33F4AD54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jc w:val="center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Обороты по счетам ООО «Сентябрь» за 2009г.</w:t>
      </w:r>
    </w:p>
    <w:p w14:paraId="15020BBF" w14:textId="7BD4CF46" w:rsid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jc w:val="right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</w:p>
    <w:p w14:paraId="38A20E1B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jc w:val="right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</w:p>
    <w:tbl>
      <w:tblPr>
        <w:tblpPr w:leftFromText="180" w:rightFromText="180" w:vertAnchor="page" w:horzAnchor="margin" w:tblpY="11611"/>
        <w:tblW w:w="892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47"/>
        <w:gridCol w:w="1327"/>
        <w:gridCol w:w="1431"/>
        <w:gridCol w:w="1430"/>
        <w:gridCol w:w="1410"/>
        <w:gridCol w:w="1378"/>
      </w:tblGrid>
      <w:tr w:rsidR="00AB084E" w:rsidRPr="00AB084E" w14:paraId="27ADE6D7" w14:textId="77777777" w:rsidTr="00AB084E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35F351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bidi="ar-SA"/>
              </w:rPr>
              <w:t>Банк</w:t>
            </w:r>
          </w:p>
        </w:tc>
        <w:tc>
          <w:tcPr>
            <w:tcW w:w="1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C43AC0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май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0EA6CD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июнь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21D227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июль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87E72E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ind w:right="431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август</w:t>
            </w:r>
          </w:p>
        </w:tc>
        <w:tc>
          <w:tcPr>
            <w:tcW w:w="1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BC8E5A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сентябрь</w:t>
            </w:r>
          </w:p>
        </w:tc>
      </w:tr>
      <w:tr w:rsidR="00AB084E" w:rsidRPr="00AB084E" w14:paraId="340B857D" w14:textId="77777777" w:rsidTr="00AB084E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7D9F45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ЗАО «ВОКБАНК»</w:t>
            </w:r>
          </w:p>
        </w:tc>
        <w:tc>
          <w:tcPr>
            <w:tcW w:w="1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53F9C0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70 610,00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3A112DD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4 350 000,00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5D9981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 477 400,00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2D6AEF2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2 951 000,00</w:t>
            </w:r>
          </w:p>
        </w:tc>
        <w:tc>
          <w:tcPr>
            <w:tcW w:w="1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0265E2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100 000,00</w:t>
            </w:r>
          </w:p>
        </w:tc>
      </w:tr>
      <w:tr w:rsidR="00AB084E" w:rsidRPr="00AB084E" w14:paraId="6C1683E0" w14:textId="77777777" w:rsidTr="00AB084E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0CE5F3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НФ ОАО «ВТБ»</w:t>
            </w:r>
          </w:p>
        </w:tc>
        <w:tc>
          <w:tcPr>
            <w:tcW w:w="1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DE7771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98ED8F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DE7A0A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FCAB79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4B12A1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0,00</w:t>
            </w:r>
          </w:p>
        </w:tc>
      </w:tr>
      <w:tr w:rsidR="00AB084E" w:rsidRPr="00AB084E" w14:paraId="748750A5" w14:textId="77777777" w:rsidTr="00AB084E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CE1CF7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ОАО АКБ «</w:t>
            </w:r>
            <w:proofErr w:type="spellStart"/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Саровбизнесбанк</w:t>
            </w:r>
            <w:proofErr w:type="spellEnd"/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»</w:t>
            </w:r>
          </w:p>
        </w:tc>
        <w:tc>
          <w:tcPr>
            <w:tcW w:w="1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39FB7C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2 926 122,07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719005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2 246 129,07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AF1710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18 806 280,39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149569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582 375,51</w:t>
            </w:r>
          </w:p>
        </w:tc>
        <w:tc>
          <w:tcPr>
            <w:tcW w:w="1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B49364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968 834,45</w:t>
            </w:r>
          </w:p>
        </w:tc>
      </w:tr>
      <w:tr w:rsidR="00AB084E" w:rsidRPr="00AB084E" w14:paraId="6A209CC0" w14:textId="77777777" w:rsidTr="00AB084E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2DCAAC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НФ АКБ «АК БАРС БАНК»</w:t>
            </w:r>
          </w:p>
        </w:tc>
        <w:tc>
          <w:tcPr>
            <w:tcW w:w="1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C4DE5C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 898 000,00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9339E7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 658 232,16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211B87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7 231 000,00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29BDE5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7 229,59</w:t>
            </w:r>
          </w:p>
        </w:tc>
        <w:tc>
          <w:tcPr>
            <w:tcW w:w="1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66C858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36 766,69</w:t>
            </w:r>
          </w:p>
        </w:tc>
      </w:tr>
      <w:tr w:rsidR="00AB084E" w:rsidRPr="00AB084E" w14:paraId="4C514C21" w14:textId="77777777" w:rsidTr="00AB084E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2A6837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НФ ОАО «Банк ЗЕНИТ»</w:t>
            </w:r>
          </w:p>
        </w:tc>
        <w:tc>
          <w:tcPr>
            <w:tcW w:w="1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ECC01F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9363AC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15 703 000,00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636978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16 674 225,00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D1EBFA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18 765 113,15</w:t>
            </w:r>
          </w:p>
        </w:tc>
        <w:tc>
          <w:tcPr>
            <w:tcW w:w="1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567EF4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12 709 849,77</w:t>
            </w:r>
          </w:p>
        </w:tc>
      </w:tr>
    </w:tbl>
    <w:p w14:paraId="0A8BBEC2" w14:textId="77777777" w:rsid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jc w:val="center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</w:p>
    <w:p w14:paraId="601332E6" w14:textId="77777777" w:rsid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jc w:val="center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</w:p>
    <w:p w14:paraId="4EFED2B0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Анализ финансового состояния произведен на основании бухгалтерской отчетности по состоянию на 01.01.2009г., 01.04.2009г., 01.07.2009г. и 01.10.2009г.</w:t>
      </w:r>
    </w:p>
    <w:p w14:paraId="20E590AB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lastRenderedPageBreak/>
        <w:t>Активы предприятия в основном представлены основными средствами, а также доходными вложениями в материальные ценности.</w:t>
      </w:r>
    </w:p>
    <w:p w14:paraId="21EBA4B9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Дебиторская задолженность ООО «Сентябрь» с начала года увеличилась в 3,6 раза и составляет 68 793 тыс. руб. Доля в ВБ увеличилась с 26% до 31 %.</w:t>
      </w:r>
    </w:p>
    <w:p w14:paraId="681B1450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Задолженность текущая, просроченной задолженности нет.</w:t>
      </w:r>
    </w:p>
    <w:p w14:paraId="71E7295C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На изменение структуры баланса в большей степени повлиял рост величины дебиторской задолженности, а также такой статьи как доходные вложения в мат. ценности.</w:t>
      </w:r>
    </w:p>
    <w:p w14:paraId="4C2AA8A1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Предприятие обладает собственным оборотным капиталом в размере 196 001 тыс. руб. или 13 % оборотных средств, что положительно характеризует финансовое положение ООО «Сентябрь».</w:t>
      </w:r>
    </w:p>
    <w:p w14:paraId="1B940C38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Пассивы ООО «Сентябрь» сформированы за счет собственных средств на 13 % и за счет заемных средств на 31 % ВБ краткосрочные обязательства и 56 % долгосрочные обязательства. Собственный капитал состоит почти в равных долях из капитала и нераспределенной прибыли, абсолютная величина которой выросла с начала года на 20 168 тыс. руб.</w:t>
      </w:r>
    </w:p>
    <w:p w14:paraId="19A5911E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С начала года произошло увеличение кредиторской задолженности почти в 3 раза в основном за счет авансовых платежей по лизинговым операциям, которые составили 276 341 тыс. рублей (20 % ВБ).</w:t>
      </w:r>
    </w:p>
    <w:p w14:paraId="7FBCFE64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Просроченной задолженности нет. Задолженность перед персоналом отсутствует, задолженность перед бюджетом составляет около 0,2% в ВБ.</w:t>
      </w:r>
    </w:p>
    <w:p w14:paraId="10784202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Структура пассивов за текущий год изменилась, несколько снизилась доля в ВБ собственного капитала. На рост пассивов повлияло увеличение долгосрочных и краткосрочных обязательств, которые представлены в основном кредитами и займами.</w:t>
      </w:r>
    </w:p>
    <w:p w14:paraId="70890DFB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Выручка от реализации товаров и услуг ООО «Сентябрь» за 9 месяцев текущего года составила 18 796 тыс. руб.</w:t>
      </w:r>
    </w:p>
    <w:p w14:paraId="54EA4C6B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Объем среднемесячной выручки составляет 2 755,11 тыс. руб.</w:t>
      </w:r>
    </w:p>
    <w:p w14:paraId="3B8296FD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Деятельность ООО «Сентябрь» прибыльна – чистая прибыль положительна в течение всего рассматриваемого периода.</w:t>
      </w:r>
    </w:p>
    <w:p w14:paraId="1BE733E4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Предприятие платежеспособно. Коэффициент текущей ликвидности на протяжении всего периода стабилен и составляет 0,96 - 1,36, что говорит о способности заемщика погасить краткосрочные обязательства на 100 %, реализовав текущие активы.</w:t>
      </w:r>
    </w:p>
    <w:p w14:paraId="0FBE6C5A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lastRenderedPageBreak/>
        <w:t>На протяжении всего анализируемого периода чистые активы положительны, что характеризует финансовое состояние ООО «Сентябрь» как хорошее. За последний период произошло снижение чистых активов, в связи с сокращением статьи баланса «Доходы будущих период», это связано со спецификой деятельности ООО «Сентябрь», а именно с закрытием сделок, по которым имущество стояло на балансе.</w:t>
      </w:r>
    </w:p>
    <w:p w14:paraId="174F66DB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Коэффициент абсолютной ликвидности показывает возможность погасить краткосрочную задолженность за счет самых ликвидных ресурсов, к которым относятся денежные средства и государственные ценные бумаги. На отчетную дату денежные средства на счетах ООО «Сентябрь» снизились, поэтому коэффициент абсолютной ликвидности имеет низкое значение.</w:t>
      </w:r>
    </w:p>
    <w:p w14:paraId="5C298ED6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Промежуточный коэффициент покрытия характеризует способность оперативно высвободить из хозяйственного оборота денежные средства и погасить краткосрочные обязательства. Значение показателя 1,092 позволяет оценить финансовое состояние ООО «Сентябрь» как хорошее.</w:t>
      </w:r>
    </w:p>
    <w:p w14:paraId="4159992F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Коэффициенты, рассчитанные для определения финансового состояния ООО «Сентябрь» приведены в таблице 6:</w:t>
      </w:r>
    </w:p>
    <w:p w14:paraId="25567A11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jc w:val="right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Таблица 6</w:t>
      </w:r>
    </w:p>
    <w:p w14:paraId="0195976D" w14:textId="65A0B70C" w:rsid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Коэффициенты, определяющие финансовое состояние ООО «Сентябрь»</w:t>
      </w:r>
    </w:p>
    <w:p w14:paraId="619B247E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</w:p>
    <w:tbl>
      <w:tblPr>
        <w:tblW w:w="7646" w:type="dxa"/>
        <w:tblCellSpacing w:w="0" w:type="dxa"/>
        <w:tblInd w:w="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32"/>
        <w:gridCol w:w="1346"/>
        <w:gridCol w:w="1305"/>
        <w:gridCol w:w="1299"/>
        <w:gridCol w:w="1364"/>
      </w:tblGrid>
      <w:tr w:rsidR="00AB084E" w:rsidRPr="00AB084E" w14:paraId="1762AC79" w14:textId="77777777" w:rsidTr="00AB084E">
        <w:trPr>
          <w:trHeight w:val="15"/>
          <w:tblCellSpacing w:w="0" w:type="dxa"/>
        </w:trPr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14:paraId="62DEDB61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 </w:t>
            </w:r>
          </w:p>
        </w:tc>
        <w:tc>
          <w:tcPr>
            <w:tcW w:w="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14:paraId="1A930D94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01.01.2009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14:paraId="167CB6F1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01.04.2009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14:paraId="4982FCAA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01.07.2009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14:paraId="4123D9AE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01.10.2009</w:t>
            </w:r>
          </w:p>
        </w:tc>
      </w:tr>
      <w:tr w:rsidR="00AB084E" w:rsidRPr="00AB084E" w14:paraId="68CF515C" w14:textId="77777777" w:rsidTr="00AB084E">
        <w:trPr>
          <w:trHeight w:val="30"/>
          <w:tblCellSpacing w:w="0" w:type="dxa"/>
        </w:trPr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14:paraId="3F7F63A4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/>
              <w:jc w:val="right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Коэффициент абсолютной</w:t>
            </w:r>
          </w:p>
          <w:p w14:paraId="151E6193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ликвидности</w:t>
            </w:r>
          </w:p>
        </w:tc>
        <w:tc>
          <w:tcPr>
            <w:tcW w:w="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14:paraId="4991F375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0.000176846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14:paraId="7F35AC09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0.005575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14:paraId="4915E1FC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0.0041721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14:paraId="678B5F2E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0.0003794</w:t>
            </w:r>
          </w:p>
        </w:tc>
      </w:tr>
      <w:tr w:rsidR="00AB084E" w:rsidRPr="00AB084E" w14:paraId="29AE5F9B" w14:textId="77777777" w:rsidTr="00AB084E">
        <w:trPr>
          <w:trHeight w:val="30"/>
          <w:tblCellSpacing w:w="0" w:type="dxa"/>
        </w:trPr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14:paraId="7471149B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Промежуточный коэффициент покрытия</w:t>
            </w:r>
          </w:p>
        </w:tc>
        <w:tc>
          <w:tcPr>
            <w:tcW w:w="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14:paraId="31306483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1.317329743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14:paraId="288CC624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1.1550369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14:paraId="3B9A10AB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0.9502634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14:paraId="207E55CD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1.0921542</w:t>
            </w:r>
          </w:p>
        </w:tc>
      </w:tr>
      <w:tr w:rsidR="00AB084E" w:rsidRPr="00AB084E" w14:paraId="31CBE270" w14:textId="77777777" w:rsidTr="00AB084E">
        <w:trPr>
          <w:trHeight w:val="30"/>
          <w:tblCellSpacing w:w="0" w:type="dxa"/>
        </w:trPr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14:paraId="219697C0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Общий коэффициент покрытия</w:t>
            </w:r>
          </w:p>
        </w:tc>
        <w:tc>
          <w:tcPr>
            <w:tcW w:w="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14:paraId="29485D72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1.361381451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14:paraId="583596D5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1.2040407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14:paraId="1AE860F8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0.955887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14:paraId="5FDCB9AC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1.1479155</w:t>
            </w:r>
          </w:p>
        </w:tc>
      </w:tr>
      <w:tr w:rsidR="00AB084E" w:rsidRPr="00AB084E" w14:paraId="415CA875" w14:textId="77777777" w:rsidTr="00AB084E">
        <w:trPr>
          <w:trHeight w:val="30"/>
          <w:tblCellSpacing w:w="0" w:type="dxa"/>
        </w:trPr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14:paraId="75BAAC30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Коэффициент финансовой автономии</w:t>
            </w:r>
          </w:p>
        </w:tc>
        <w:tc>
          <w:tcPr>
            <w:tcW w:w="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14:paraId="156CB4E9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0.320698108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14:paraId="066511B6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0.3362299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14:paraId="6E651608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0.2070064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14:paraId="370B2379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0.12983</w:t>
            </w:r>
          </w:p>
        </w:tc>
      </w:tr>
      <w:tr w:rsidR="00AB084E" w:rsidRPr="00AB084E" w14:paraId="79F2A8D9" w14:textId="77777777" w:rsidTr="00AB084E">
        <w:trPr>
          <w:trHeight w:val="15"/>
          <w:tblCellSpacing w:w="0" w:type="dxa"/>
        </w:trPr>
        <w:tc>
          <w:tcPr>
            <w:tcW w:w="2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14:paraId="1AB75FA1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Рентабельность продукции</w:t>
            </w:r>
          </w:p>
        </w:tc>
        <w:tc>
          <w:tcPr>
            <w:tcW w:w="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14:paraId="07DC7623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0.255984713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14:paraId="2FACDD9B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0.1341544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14:paraId="15BE4254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0.1669052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14:paraId="3F033AC7" w14:textId="77777777" w:rsidR="00AB084E" w:rsidRPr="00AB084E" w:rsidRDefault="00AB084E" w:rsidP="00AB084E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</w:pPr>
            <w:r w:rsidRPr="00AB084E">
              <w:rPr>
                <w:rFonts w:ascii="Georgia" w:eastAsia="Times New Roman" w:hAnsi="Georgia" w:cs="Times New Roman"/>
                <w:sz w:val="18"/>
                <w:szCs w:val="18"/>
                <w:lang w:bidi="ar-SA"/>
              </w:rPr>
              <w:t>0.0994026</w:t>
            </w:r>
          </w:p>
        </w:tc>
      </w:tr>
    </w:tbl>
    <w:p w14:paraId="6D4494C0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Для реализации проекта по открытию нового мебельного салона компании необходимо взять кредит в размере 500.000 рублей.</w:t>
      </w:r>
    </w:p>
    <w:p w14:paraId="7B0B76C4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Сумма расходов на открытие магазина включает в себя:</w:t>
      </w:r>
    </w:p>
    <w:p w14:paraId="01D84880" w14:textId="77777777" w:rsidR="00AB084E" w:rsidRPr="00AB084E" w:rsidRDefault="00AB084E" w:rsidP="00AB084E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затраты на проведение ремонтных работ – 300000 рублей;</w:t>
      </w:r>
    </w:p>
    <w:p w14:paraId="6161FD63" w14:textId="77777777" w:rsidR="00AB084E" w:rsidRPr="00AB084E" w:rsidRDefault="00AB084E" w:rsidP="00AB084E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затраты на проведение маркетинговых мероприятий – 120000 рублей;</w:t>
      </w:r>
    </w:p>
    <w:p w14:paraId="0742A33A" w14:textId="77777777" w:rsidR="00AB084E" w:rsidRPr="00AB084E" w:rsidRDefault="00AB084E" w:rsidP="00AB084E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lastRenderedPageBreak/>
        <w:t>затраты на привлечение нового персонала – 80000 рублей.</w:t>
      </w:r>
    </w:p>
    <w:p w14:paraId="227C8D89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Затраты на помещение в данной ситуации ограничиваются ремонтными работами, так как оно было приобретено заблаговременно. Изменения в организационной структуре компании не планируются, так как в настоящее время она полностью отвечает целям и задачам функционирования ООО «Сентябрь» (Приложение 10).</w:t>
      </w:r>
    </w:p>
    <w:p w14:paraId="1F4E93B8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 xml:space="preserve">Кроме того, руководство компании планирует создать так называемый резервный фонд, целью которого станет покрытие чрезвычайных расходов. В настоящее время кредит на реализацию данного проекта одобрен в одном из кредитных учреждений города </w:t>
      </w:r>
      <w:proofErr w:type="spellStart"/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Н.Новгорода</w:t>
      </w:r>
      <w:proofErr w:type="spellEnd"/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.</w:t>
      </w:r>
    </w:p>
    <w:p w14:paraId="2485B03E" w14:textId="17D3ED83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567"/>
        <w:jc w:val="center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bidi="ar-SA"/>
        </w:rPr>
        <w:t>Оценка экономической эффективности</w:t>
      </w:r>
    </w:p>
    <w:p w14:paraId="37C70F6B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В качестве основного показателя эффективности бизнес-плана принято рассматривать показатель точки безубыточности.</w:t>
      </w:r>
    </w:p>
    <w:p w14:paraId="6AA74DFD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Размер прибылей и убытков в значительной степени зависит от уровня продаж, который обычно является величиной, трудно прогнозируемой с определенной точностью. Для того, чтобы знать, какой потребуется уровень продаж для достижения прибыльности предприятия, необходимо провести анализ безубыточности.</w:t>
      </w:r>
    </w:p>
    <w:p w14:paraId="2F67E61C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Исходя из имеющихся данных, была определена точка безубыточности для ООО «Сентябрь». При этом учитывался объем реализации по всем наименованиям товара и соответственно усредненная цена.</w:t>
      </w:r>
    </w:p>
    <w:p w14:paraId="53C70B22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Анализ полученных данных показал, что при выручке 2500000 руб. деятельность фирмы является безубыточной, при большей выручке она начинает получать прибыль.</w:t>
      </w:r>
    </w:p>
    <w:p w14:paraId="1602F730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На втором этапе оценки экономической эффективности проекта рассчитывают такие показатели как:</w:t>
      </w:r>
    </w:p>
    <w:p w14:paraId="0AD1AC21" w14:textId="65DAF292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567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- Чистый дисконтированный доход рассчитывается по формуле (</w:t>
      </w:r>
      <w:r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1</w:t>
      </w: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):</w:t>
      </w:r>
    </w:p>
    <w:p w14:paraId="28C5309A" w14:textId="4A02BD06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567"/>
        <w:jc w:val="right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Формула (</w:t>
      </w:r>
      <w:r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1</w:t>
      </w: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).</w:t>
      </w:r>
    </w:p>
    <w:p w14:paraId="2FE649C8" w14:textId="000CEF1F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567"/>
        <w:jc w:val="center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noProof/>
          <w:color w:val="000000"/>
          <w:sz w:val="24"/>
          <w:szCs w:val="24"/>
          <w:lang w:bidi="ar-SA"/>
        </w:rPr>
        <w:drawing>
          <wp:inline distT="0" distB="0" distL="0" distR="0" wp14:anchorId="462BD24B" wp14:editId="2EE0C5B1">
            <wp:extent cx="3524250" cy="647700"/>
            <wp:effectExtent l="0" t="0" r="0" b="0"/>
            <wp:docPr id="2" name="Рисунок 2" descr="https://works.doklad.ru/images/l9KJAlBLSW4/64866d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orks.doklad.ru/images/l9KJAlBLSW4/64866de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93C39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567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 xml:space="preserve">где </w:t>
      </w:r>
      <w:proofErr w:type="spellStart"/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Bt</w:t>
      </w:r>
      <w:proofErr w:type="spellEnd"/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 xml:space="preserve"> - выгоды проекта в год t</w:t>
      </w:r>
    </w:p>
    <w:p w14:paraId="677823E2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567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proofErr w:type="spellStart"/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Ct</w:t>
      </w:r>
      <w:proofErr w:type="spellEnd"/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 xml:space="preserve"> - затраты проекта в год t</w:t>
      </w:r>
    </w:p>
    <w:p w14:paraId="07057264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567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t = 1 ... n - годы жизни проекта</w:t>
      </w:r>
    </w:p>
    <w:p w14:paraId="77021F45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lastRenderedPageBreak/>
        <w:t>Инвестору следует отдавать предпочтение только тем проектам, для которых NPV имеет положительное значение. Отрицательное же значение свидетельствует о неэффективности использования денежных средств: норма доходности меньше необходимой.</w:t>
      </w:r>
    </w:p>
    <w:p w14:paraId="27769C12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567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- Индекс прибыльности.</w:t>
      </w:r>
    </w:p>
    <w:p w14:paraId="0C4E17B6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Индекс прибыльности (</w:t>
      </w:r>
      <w:proofErr w:type="spellStart"/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profitability</w:t>
      </w:r>
      <w:proofErr w:type="spellEnd"/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index</w:t>
      </w:r>
      <w:proofErr w:type="spellEnd"/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, PI) показывает относительную прибыльность проекта, или дисконтированную стоимость денежных поступлений от проекта в расчете на единицу вложений. Он рассчитывается путем деления чистых приведенных поступлений от проекта на стоимость первоначальных вложений:</w:t>
      </w:r>
    </w:p>
    <w:p w14:paraId="2AF06B4C" w14:textId="1C502C9B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567"/>
        <w:jc w:val="right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Формула (</w:t>
      </w:r>
      <w:r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2</w:t>
      </w: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).</w:t>
      </w:r>
    </w:p>
    <w:p w14:paraId="645115B4" w14:textId="71A939BC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567"/>
        <w:jc w:val="center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noProof/>
          <w:color w:val="000000"/>
          <w:sz w:val="24"/>
          <w:szCs w:val="24"/>
          <w:lang w:bidi="ar-SA"/>
        </w:rPr>
        <w:drawing>
          <wp:inline distT="0" distB="0" distL="0" distR="0" wp14:anchorId="1A2F53E6" wp14:editId="448D0943">
            <wp:extent cx="1247775" cy="647700"/>
            <wp:effectExtent l="0" t="0" r="9525" b="0"/>
            <wp:docPr id="1" name="Рисунок 1" descr="https://works.doklad.ru/images/l9KJAlBLSW4/m3a075f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orks.doklad.ru/images/l9KJAlBLSW4/m3a075f8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A8517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567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где: NPV - чистые приведенные денежные потоки проекта;</w:t>
      </w:r>
    </w:p>
    <w:p w14:paraId="2F909002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567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Со - первоначальные затраты.</w:t>
      </w:r>
    </w:p>
    <w:p w14:paraId="57F16F99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proofErr w:type="gramStart"/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Внутренняя норма рентабельности это</w:t>
      </w:r>
      <w:proofErr w:type="gramEnd"/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 xml:space="preserve"> показатель, при котором NPV=0. В этой точке дисконтированный поток затрат равен дисконтированному потоку выгод. Она имеет конкретный экономический смысл дисконтированной «точки безубыточности» и называется внутренней нормой рентабельности, или, сокращенно, IRR.</w:t>
      </w:r>
    </w:p>
    <w:p w14:paraId="6453165F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Оценка эффективности для проекта создания мебельного магазина ООО «Сентябрь» произведена на основании интегральных показателей, отражающих экономическую эффективность, которую намечается достигнуть в результате его реализации. Принятый в расчетах эффективности проекта коэффициент дисконтирования (норма дисконта) равен 0,15 (15%).</w:t>
      </w:r>
    </w:p>
    <w:p w14:paraId="628E39E3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Анализ экономической эффективности проекта показывает, что проект особо остро реагирует на изменение цены реализации. Если цена снизиться только на 20% по сравнению с ожидаемой, то проект уже в типичном производственном периоде вступит в зону убытков. Так что анализ безубыточности позволяет сделать вывод о самом большом риске связанным с ценой.</w:t>
      </w:r>
    </w:p>
    <w:p w14:paraId="054FB194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 xml:space="preserve">Не так чувствителен проект в отношении предполагаемого сбыта, а </w:t>
      </w:r>
      <w:proofErr w:type="gramStart"/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так же</w:t>
      </w:r>
      <w:proofErr w:type="gramEnd"/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 xml:space="preserve"> постоянных и переменных затрат. Объем спроса может быть на четверть меньше запланированного, пока проект не вступит в зону убытков. Переменные затраты могут быть на 20% выше, чем ожидалось, а постоянные затраты выше на 30%.</w:t>
      </w:r>
    </w:p>
    <w:p w14:paraId="5D5C34C2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t>Таким образом, ликвидность проекта обеспечена, т.е. кумулятивный чистый денежный поток в течение всей плановой фазы не отрицателен.</w:t>
      </w:r>
    </w:p>
    <w:p w14:paraId="3560E6F2" w14:textId="77777777" w:rsidR="00AB084E" w:rsidRPr="00AB084E" w:rsidRDefault="00AB084E" w:rsidP="00AB084E">
      <w:pPr>
        <w:widowControl/>
        <w:shd w:val="clear" w:color="auto" w:fill="FFFFFF"/>
        <w:autoSpaceDE/>
        <w:autoSpaceDN/>
        <w:spacing w:before="100" w:before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</w:pPr>
      <w:r w:rsidRPr="00AB084E">
        <w:rPr>
          <w:rFonts w:ascii="Georgia" w:eastAsia="Times New Roman" w:hAnsi="Georgia" w:cs="Times New Roman"/>
          <w:color w:val="000000"/>
          <w:sz w:val="24"/>
          <w:szCs w:val="24"/>
          <w:lang w:bidi="ar-SA"/>
        </w:rPr>
        <w:lastRenderedPageBreak/>
        <w:t>Срок окупаемости проекта составит при начальной ежемесячной прибыли магазина (350.000 руб.) составит 2 месяца. Относительно небольшой период окупаемости обусловлен тем, что первоначальные вложения составили 500.000 руб.</w:t>
      </w:r>
    </w:p>
    <w:p w14:paraId="3A1F82AC" w14:textId="7E2B246F" w:rsidR="00443EAA" w:rsidRPr="00986FAF" w:rsidRDefault="00443EAA" w:rsidP="00AB084E">
      <w:pPr>
        <w:rPr>
          <w:rFonts w:ascii="Georgia" w:hAnsi="Georgia"/>
          <w:color w:val="000000"/>
        </w:rPr>
      </w:pPr>
      <w:bookmarkStart w:id="0" w:name="_GoBack"/>
      <w:bookmarkEnd w:id="0"/>
    </w:p>
    <w:sectPr w:rsidR="00443EAA" w:rsidRPr="00986FAF">
      <w:pgSz w:w="11910" w:h="16840"/>
      <w:pgMar w:top="940" w:right="100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232"/>
    <w:multiLevelType w:val="multilevel"/>
    <w:tmpl w:val="410E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E4990"/>
    <w:multiLevelType w:val="multilevel"/>
    <w:tmpl w:val="9AC8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C5489"/>
    <w:multiLevelType w:val="multilevel"/>
    <w:tmpl w:val="936C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3662B"/>
    <w:multiLevelType w:val="multilevel"/>
    <w:tmpl w:val="B2B8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72691"/>
    <w:multiLevelType w:val="multilevel"/>
    <w:tmpl w:val="AA4C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D7AF1"/>
    <w:multiLevelType w:val="multilevel"/>
    <w:tmpl w:val="8D0C98E0"/>
    <w:lvl w:ilvl="0">
      <w:start w:val="1"/>
      <w:numFmt w:val="decimal"/>
      <w:lvlText w:val="%1."/>
      <w:lvlJc w:val="left"/>
      <w:pPr>
        <w:ind w:left="919" w:hanging="240"/>
      </w:pPr>
      <w:rPr>
        <w:rFonts w:hint="default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99" w:hanging="420"/>
      </w:pPr>
      <w:rPr>
        <w:rFonts w:ascii="Calibri" w:eastAsia="Calibri" w:hAnsi="Calibri" w:cs="Calibri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12" w:hanging="598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160" w:hanging="5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240" w:hanging="5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680" w:hanging="5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121" w:hanging="5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562" w:hanging="5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03" w:hanging="598"/>
      </w:pPr>
      <w:rPr>
        <w:rFonts w:hint="default"/>
        <w:lang w:val="ru-RU" w:eastAsia="ru-RU" w:bidi="ru-RU"/>
      </w:rPr>
    </w:lvl>
  </w:abstractNum>
  <w:abstractNum w:abstractNumId="6" w15:restartNumberingAfterBreak="0">
    <w:nsid w:val="36DF3696"/>
    <w:multiLevelType w:val="multilevel"/>
    <w:tmpl w:val="9020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10764A"/>
    <w:multiLevelType w:val="multilevel"/>
    <w:tmpl w:val="67AC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4F6CA4"/>
    <w:multiLevelType w:val="multilevel"/>
    <w:tmpl w:val="6AB62C36"/>
    <w:lvl w:ilvl="0">
      <w:start w:val="3"/>
      <w:numFmt w:val="decimal"/>
      <w:lvlText w:val="%1"/>
      <w:lvlJc w:val="left"/>
      <w:pPr>
        <w:ind w:left="112" w:hanging="687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12" w:hanging="687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687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49" w:hanging="6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6" w:hanging="6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2" w:hanging="6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9" w:hanging="6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5" w:hanging="6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2" w:hanging="687"/>
      </w:pPr>
      <w:rPr>
        <w:rFonts w:hint="default"/>
        <w:lang w:val="ru-RU" w:eastAsia="ru-RU" w:bidi="ru-RU"/>
      </w:rPr>
    </w:lvl>
  </w:abstractNum>
  <w:abstractNum w:abstractNumId="9" w15:restartNumberingAfterBreak="0">
    <w:nsid w:val="55421B56"/>
    <w:multiLevelType w:val="multilevel"/>
    <w:tmpl w:val="885A7296"/>
    <w:lvl w:ilvl="0">
      <w:start w:val="11"/>
      <w:numFmt w:val="decimal"/>
      <w:lvlText w:val="%1"/>
      <w:lvlJc w:val="left"/>
      <w:pPr>
        <w:ind w:left="112" w:hanging="772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12" w:hanging="772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772"/>
      </w:pPr>
      <w:rPr>
        <w:rFonts w:ascii="Calibri" w:eastAsia="Calibri" w:hAnsi="Calibri" w:cs="Calibri" w:hint="default"/>
        <w:spacing w:val="-1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49" w:hanging="7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6" w:hanging="7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2" w:hanging="7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9" w:hanging="7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5" w:hanging="7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2" w:hanging="772"/>
      </w:pPr>
      <w:rPr>
        <w:rFonts w:hint="default"/>
        <w:lang w:val="ru-RU" w:eastAsia="ru-RU" w:bidi="ru-RU"/>
      </w:rPr>
    </w:lvl>
  </w:abstractNum>
  <w:abstractNum w:abstractNumId="10" w15:restartNumberingAfterBreak="0">
    <w:nsid w:val="69C57E8B"/>
    <w:multiLevelType w:val="multilevel"/>
    <w:tmpl w:val="E6C0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093940"/>
    <w:multiLevelType w:val="multilevel"/>
    <w:tmpl w:val="0300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843DEE"/>
    <w:multiLevelType w:val="multilevel"/>
    <w:tmpl w:val="403C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D26E2E"/>
    <w:multiLevelType w:val="multilevel"/>
    <w:tmpl w:val="5E34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3"/>
  </w:num>
  <w:num w:numId="7">
    <w:abstractNumId w:val="11"/>
  </w:num>
  <w:num w:numId="8">
    <w:abstractNumId w:val="7"/>
  </w:num>
  <w:num w:numId="9">
    <w:abstractNumId w:val="13"/>
  </w:num>
  <w:num w:numId="10">
    <w:abstractNumId w:val="4"/>
  </w:num>
  <w:num w:numId="11">
    <w:abstractNumId w:val="6"/>
  </w:num>
  <w:num w:numId="12">
    <w:abstractNumId w:val="2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AA"/>
    <w:rsid w:val="001A7F97"/>
    <w:rsid w:val="002D3B4C"/>
    <w:rsid w:val="002D3EB5"/>
    <w:rsid w:val="00314BCD"/>
    <w:rsid w:val="00356D1B"/>
    <w:rsid w:val="00443EAA"/>
    <w:rsid w:val="005F06DC"/>
    <w:rsid w:val="00613095"/>
    <w:rsid w:val="00721408"/>
    <w:rsid w:val="00802B8F"/>
    <w:rsid w:val="00876BAA"/>
    <w:rsid w:val="00890F84"/>
    <w:rsid w:val="00897DE7"/>
    <w:rsid w:val="00986FAF"/>
    <w:rsid w:val="00A12DAC"/>
    <w:rsid w:val="00A35B05"/>
    <w:rsid w:val="00A64CF3"/>
    <w:rsid w:val="00A70750"/>
    <w:rsid w:val="00AB084E"/>
    <w:rsid w:val="00BC3D8F"/>
    <w:rsid w:val="00C13C77"/>
    <w:rsid w:val="00F42B02"/>
    <w:rsid w:val="00F8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B2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ind w:left="921" w:hanging="2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  <w:style w:type="paragraph" w:styleId="a5">
    <w:name w:val="Normal (Web)"/>
    <w:basedOn w:val="a"/>
    <w:uiPriority w:val="99"/>
    <w:unhideWhenUsed/>
    <w:rsid w:val="00A35B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6">
    <w:name w:val="Strong"/>
    <w:basedOn w:val="a0"/>
    <w:uiPriority w:val="22"/>
    <w:qFormat/>
    <w:rsid w:val="00986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1399</Words>
  <Characters>7980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/Обязательства Businessmens.ru</vt:lpstr>
      <vt:lpstr>Обязательство Пользователя</vt:lpstr>
      <vt:lpstr>Условия оплаты</vt:lpstr>
      <vt:lpstr>Срок действия и изменение условий оферты</vt:lpstr>
      <vt:lpstr>Срок действия и изменение договора оферты</vt:lpstr>
      <vt:lpstr>Расторжения договора оферты</vt:lpstr>
      <vt:lpstr>Гарантии</vt:lpstr>
      <vt:lpstr>/Ответственность и ограничение ответственности Businessmens.ru</vt:lpstr>
      <vt:lpstr>Ответственность пользователя</vt:lpstr>
      <vt:lpstr>Прочие условия</vt:lpstr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damir</cp:lastModifiedBy>
  <cp:revision>2</cp:revision>
  <cp:lastPrinted>2019-05-16T11:30:00Z</cp:lastPrinted>
  <dcterms:created xsi:type="dcterms:W3CDTF">2019-08-05T10:12:00Z</dcterms:created>
  <dcterms:modified xsi:type="dcterms:W3CDTF">2019-08-05T10:12:00Z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LastSaved">
    <vt:filetime>2019-03-12T00:00:00Z</vt:filetime>
  </property>
</Properties>
</file>