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3CF20" w14:textId="57DC4F68" w:rsidR="00A64CF3" w:rsidRDefault="002D3B4C">
      <w:pPr>
        <w:rPr>
          <w:rFonts w:ascii="Microsoft Sans Serif" w:hAnsi="Microsoft Sans Serif"/>
          <w:sz w:val="21"/>
        </w:rPr>
      </w:pPr>
      <w:r w:rsidRPr="002D3B4C">
        <w:rPr>
          <w:rFonts w:ascii="Microsoft Sans Serif" w:hAnsi="Microsoft Sans Serif"/>
          <w:noProof/>
          <w:sz w:val="21"/>
          <w:lang w:bidi="ar-SA"/>
        </w:rPr>
        <w:drawing>
          <wp:inline distT="0" distB="0" distL="0" distR="0" wp14:anchorId="6F8D843D" wp14:editId="2316FC6B">
            <wp:extent cx="1727771" cy="227838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771" cy="227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F2CAA" w14:textId="41C1451B" w:rsidR="00A35B05" w:rsidRDefault="00A35B05">
      <w:pPr>
        <w:rPr>
          <w:rFonts w:ascii="Microsoft Sans Serif" w:hAnsi="Microsoft Sans Serif"/>
          <w:sz w:val="21"/>
        </w:rPr>
      </w:pPr>
    </w:p>
    <w:p w14:paraId="2E85045C" w14:textId="4005184F" w:rsidR="00A35B05" w:rsidRDefault="00A35B05">
      <w:pPr>
        <w:rPr>
          <w:rFonts w:ascii="Microsoft Sans Serif" w:hAnsi="Microsoft Sans Serif"/>
          <w:sz w:val="21"/>
        </w:rPr>
      </w:pPr>
    </w:p>
    <w:p w14:paraId="314F5EF5" w14:textId="77777777" w:rsidR="00A70750" w:rsidRPr="00A70750" w:rsidRDefault="00A70750" w:rsidP="00A70750">
      <w:pPr>
        <w:pStyle w:val="a5"/>
        <w:shd w:val="clear" w:color="auto" w:fill="FFFFFF"/>
        <w:spacing w:after="0" w:afterAutospacing="0" w:line="360" w:lineRule="atLeast"/>
        <w:ind w:firstLine="709"/>
        <w:jc w:val="center"/>
        <w:rPr>
          <w:rFonts w:ascii="Georgia" w:hAnsi="Georgia"/>
          <w:b/>
          <w:color w:val="000000"/>
          <w:sz w:val="28"/>
          <w:szCs w:val="28"/>
        </w:rPr>
      </w:pPr>
      <w:r w:rsidRPr="00A70750">
        <w:rPr>
          <w:rFonts w:ascii="Georgia" w:hAnsi="Georgia"/>
          <w:b/>
          <w:color w:val="000000"/>
          <w:sz w:val="28"/>
          <w:szCs w:val="28"/>
        </w:rPr>
        <w:t>Анализ отрасли</w:t>
      </w:r>
    </w:p>
    <w:p w14:paraId="4CFAA203" w14:textId="77777777" w:rsidR="00A70750" w:rsidRDefault="00A70750" w:rsidP="00A70750">
      <w:pPr>
        <w:pStyle w:val="a5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 настоящее время производство и продажа мебели является перспективным направлением деятельности. Мебельная промышленность развивается быстрее многих других российских отраслей - объем производства в 2005, 2006, 2007 гг. рос на 15-20% ежегодно. Динамика развития мебельного рынка позволяет передовым предприятиям расти на 300% в год. По данным Ассоциации предприятий мебельной и деревообрабатывающей промышленности России (АМДПР), в январе - июле 2008 г. российская мебельная промышленность увеличила производство на треть по сравнению с тем же периодом 2007 г. По итогам же 2007 г. производство выросло почти на четверть, объем продаж составил $4,5 млрд, а потребление мебели на душу населения увеличилось до $34. В конце 2008 и 2009гг. кризис внес свои коррективы в развитие данной сферы деятельности. Так, по мнению аналитиков, мебельная отрасль снизила производственные показатели более, чем в 3 раза, предприятия деревообработки пока снизили свою производительности на 23,5%.</w:t>
      </w:r>
    </w:p>
    <w:p w14:paraId="46263218" w14:textId="77777777" w:rsidR="00A70750" w:rsidRDefault="00A70750" w:rsidP="00A70750">
      <w:pPr>
        <w:pStyle w:val="a5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Российский рынок мебели отличается высокой степенью концентрации: 10 крупнейших компаний из более чем 3 тыс. производителей выпускают больше половины всей российской мебели. При этом 600 из них - достаточно крупные, а примерно 50 формируют рынок по цене и дизайну. Большинство из них - это крупные мебельные комбинаты, существующие еще с советских времен и специализирующиеся на корпусной мебели. Подавляющее большинство остальных компаний - небольшие, как правило, нелегальные производители, производящие продукцию с чужим дизайном, иногда и под чужим брэндом, и реализующие ее на рынках или в мелких магазинчиках. Попытки участников рынка справиться с этим пока не слишком успешны. Но это уже не главная опасность. Реальная проблема для отечественных производителей - риски, связанные с иностранными игроками, в основном европейскими и азиатскими.</w:t>
      </w:r>
    </w:p>
    <w:p w14:paraId="425C96DD" w14:textId="77777777" w:rsidR="00A70750" w:rsidRDefault="00A70750" w:rsidP="00A70750">
      <w:pPr>
        <w:pStyle w:val="a5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За 6 месяцев 2008 г. импорт мебели в Россию существенно возрос: 158,1% к уровню 2007 г., в том числе из стран дальнего зарубежья — 172,5%. При этом увеличение импорта в стоимостном выражении было существенно выше, чем в натуральном. Общая доля импорта на рынке увеличилась примерно на 4% и составила 48%, в том числе из стран дальнего зарубежья 42,3%, а с учётом теневого производства — 31 и 27,3% соответственно. Однако, для отечественной промышленности, занимающей более низкий ценовой сегмент, пока что сохраняется необходимая доля рынка, стимулирующая дальнейшее развитие производства. В 2008 г. соотношение по ввозу «дешёвой» и «дорогой» мебели на внутренний рынок практически не изменилось — соответственно, 20 и 80%.</w:t>
      </w:r>
    </w:p>
    <w:p w14:paraId="75147572" w14:textId="77777777" w:rsidR="00A70750" w:rsidRDefault="00A70750" w:rsidP="00A70750">
      <w:pPr>
        <w:pStyle w:val="a5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 xml:space="preserve">Наиболее опасный для российских производителей является Китай. Он занимает 3-е место в мире по объемам производства мебели. За счёт низкой себестоимости средняя цена </w:t>
      </w:r>
      <w:proofErr w:type="gramStart"/>
      <w:r>
        <w:rPr>
          <w:rFonts w:ascii="Georgia" w:hAnsi="Georgia"/>
          <w:color w:val="000000"/>
        </w:rPr>
        <w:t>мебели</w:t>
      </w:r>
      <w:proofErr w:type="gramEnd"/>
      <w:r>
        <w:rPr>
          <w:rFonts w:ascii="Georgia" w:hAnsi="Georgia"/>
          <w:color w:val="000000"/>
        </w:rPr>
        <w:t xml:space="preserve"> ввозимой из Китая в Россию за 6 мес. 2008 г. увеличилась незначительно - на 6-10%. Таким образом, конкурентоспособность её на отечественном рынке высока, и при существующем уровне инфляции представляет реальную опасность для отечественной промышленности. Захват российского рынка китайской мебелью уже начался, однако присоединение к ВТО может существенно его ускорить. Российские мебельщики смогут уберечь свои позиции только за счет торговых сетей и известных марок.</w:t>
      </w:r>
    </w:p>
    <w:p w14:paraId="2CEA9C76" w14:textId="77777777" w:rsidR="00A70750" w:rsidRDefault="00A70750" w:rsidP="00A70750">
      <w:pPr>
        <w:pStyle w:val="a5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Российская мебельная промышленность уже пережила один период иностранной угрозы - по официальным данным, за 2001-2004 гг. доля мебели, ввезенной из дальнего зарубежья, увеличилась на российском рынке примерно в три раза. Однако в конце 2004 г. российское правительство ввело новый порядок начисления импортных пошлин: на дорогую мебель их снизили, а на средний и эконом сегменты, где как раз и работают отечественные производители, - повысили. Это привело к снижению конкуренции и доли импорта до нынешнего уровня.</w:t>
      </w:r>
    </w:p>
    <w:p w14:paraId="3F81330F" w14:textId="77777777" w:rsidR="00A70750" w:rsidRDefault="00A70750" w:rsidP="00A70750">
      <w:pPr>
        <w:pStyle w:val="a5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Объём экспорта мебели из России в 2008 г. был в 4,6 раза меньше объёма импорта. Заметных изменений в структуре экспорта не произошло. Опережающими темпами развивается экспорт в страны СНГ (140%), в то время как поставки в страны дальнего зарубежья составили всего лишь 105% к соответствующему периоду 2007 г. Цены на мебель, экспортируемую в страны СНГ, существенно превышают цены экспорта в страны дальнего зарубежья.</w:t>
      </w:r>
    </w:p>
    <w:p w14:paraId="5A909845" w14:textId="77777777" w:rsidR="00A70750" w:rsidRDefault="00A70750" w:rsidP="00A70750">
      <w:pPr>
        <w:pStyle w:val="a5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 2009 г. не произошло и заметных изменений в производстве мебели по федеральным округам. Главными центрами мебельного производства остаются Центральный и Приволжский ФО. Между тем в Центральном ФО, включающем 18 субъектов Федерации, более 80% производства сосредоточено лишь в трёх: - Московской (48,9%), Воронежской (11,2%) областях и в Москве (20,3%). Это объясняется наличием в них крупных фирм, которые развивают производство на базе предприятий, действовавших до перестройки.</w:t>
      </w:r>
    </w:p>
    <w:p w14:paraId="3A1F82AC" w14:textId="3D423DF3" w:rsidR="00443EAA" w:rsidRPr="002D3B4C" w:rsidRDefault="00443EAA" w:rsidP="00A70750">
      <w:bookmarkStart w:id="0" w:name="_GoBack"/>
      <w:bookmarkEnd w:id="0"/>
    </w:p>
    <w:sectPr w:rsidR="00443EAA" w:rsidRPr="002D3B4C">
      <w:pgSz w:w="11910" w:h="16840"/>
      <w:pgMar w:top="940" w:right="100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4990"/>
    <w:multiLevelType w:val="multilevel"/>
    <w:tmpl w:val="9AC88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C5489"/>
    <w:multiLevelType w:val="multilevel"/>
    <w:tmpl w:val="936C3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03662B"/>
    <w:multiLevelType w:val="multilevel"/>
    <w:tmpl w:val="B2B8C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A72691"/>
    <w:multiLevelType w:val="multilevel"/>
    <w:tmpl w:val="AA4C9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0D7AF1"/>
    <w:multiLevelType w:val="multilevel"/>
    <w:tmpl w:val="8D0C98E0"/>
    <w:lvl w:ilvl="0">
      <w:start w:val="1"/>
      <w:numFmt w:val="decimal"/>
      <w:lvlText w:val="%1."/>
      <w:lvlJc w:val="left"/>
      <w:pPr>
        <w:ind w:left="919" w:hanging="240"/>
      </w:pPr>
      <w:rPr>
        <w:rFonts w:hint="default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99" w:hanging="420"/>
      </w:pPr>
      <w:rPr>
        <w:rFonts w:ascii="Calibri" w:eastAsia="Calibri" w:hAnsi="Calibri" w:cs="Calibri" w:hint="default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12" w:hanging="598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160" w:hanging="59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240" w:hanging="59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680" w:hanging="59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121" w:hanging="59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562" w:hanging="59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003" w:hanging="598"/>
      </w:pPr>
      <w:rPr>
        <w:rFonts w:hint="default"/>
        <w:lang w:val="ru-RU" w:eastAsia="ru-RU" w:bidi="ru-RU"/>
      </w:rPr>
    </w:lvl>
  </w:abstractNum>
  <w:abstractNum w:abstractNumId="5" w15:restartNumberingAfterBreak="0">
    <w:nsid w:val="36DF3696"/>
    <w:multiLevelType w:val="multilevel"/>
    <w:tmpl w:val="9020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10764A"/>
    <w:multiLevelType w:val="multilevel"/>
    <w:tmpl w:val="67AC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4F6CA4"/>
    <w:multiLevelType w:val="multilevel"/>
    <w:tmpl w:val="6AB62C36"/>
    <w:lvl w:ilvl="0">
      <w:start w:val="3"/>
      <w:numFmt w:val="decimal"/>
      <w:lvlText w:val="%1"/>
      <w:lvlJc w:val="left"/>
      <w:pPr>
        <w:ind w:left="112" w:hanging="687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112" w:hanging="687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2" w:hanging="687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49" w:hanging="6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6" w:hanging="6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2" w:hanging="6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9" w:hanging="6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5" w:hanging="6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32" w:hanging="687"/>
      </w:pPr>
      <w:rPr>
        <w:rFonts w:hint="default"/>
        <w:lang w:val="ru-RU" w:eastAsia="ru-RU" w:bidi="ru-RU"/>
      </w:rPr>
    </w:lvl>
  </w:abstractNum>
  <w:abstractNum w:abstractNumId="8" w15:restartNumberingAfterBreak="0">
    <w:nsid w:val="55421B56"/>
    <w:multiLevelType w:val="multilevel"/>
    <w:tmpl w:val="885A7296"/>
    <w:lvl w:ilvl="0">
      <w:start w:val="11"/>
      <w:numFmt w:val="decimal"/>
      <w:lvlText w:val="%1"/>
      <w:lvlJc w:val="left"/>
      <w:pPr>
        <w:ind w:left="112" w:hanging="772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112" w:hanging="772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2" w:hanging="772"/>
      </w:pPr>
      <w:rPr>
        <w:rFonts w:ascii="Calibri" w:eastAsia="Calibri" w:hAnsi="Calibri" w:cs="Calibri" w:hint="default"/>
        <w:spacing w:val="-14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49" w:hanging="77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6" w:hanging="77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2" w:hanging="77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9" w:hanging="77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5" w:hanging="77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32" w:hanging="772"/>
      </w:pPr>
      <w:rPr>
        <w:rFonts w:hint="default"/>
        <w:lang w:val="ru-RU" w:eastAsia="ru-RU" w:bidi="ru-RU"/>
      </w:rPr>
    </w:lvl>
  </w:abstractNum>
  <w:abstractNum w:abstractNumId="9" w15:restartNumberingAfterBreak="0">
    <w:nsid w:val="69C57E8B"/>
    <w:multiLevelType w:val="multilevel"/>
    <w:tmpl w:val="E6C0E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093940"/>
    <w:multiLevelType w:val="multilevel"/>
    <w:tmpl w:val="0300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D26E2E"/>
    <w:multiLevelType w:val="multilevel"/>
    <w:tmpl w:val="5E34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EAA"/>
    <w:rsid w:val="002D3B4C"/>
    <w:rsid w:val="002D3EB5"/>
    <w:rsid w:val="00356D1B"/>
    <w:rsid w:val="00443EAA"/>
    <w:rsid w:val="005F06DC"/>
    <w:rsid w:val="00613095"/>
    <w:rsid w:val="00721408"/>
    <w:rsid w:val="00802B8F"/>
    <w:rsid w:val="00876BAA"/>
    <w:rsid w:val="00890F84"/>
    <w:rsid w:val="00A12DAC"/>
    <w:rsid w:val="00A35B05"/>
    <w:rsid w:val="00A64CF3"/>
    <w:rsid w:val="00A70750"/>
    <w:rsid w:val="00BC3D8F"/>
    <w:rsid w:val="00C13C77"/>
    <w:rsid w:val="00F4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8B2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 w:eastAsia="ru-RU" w:bidi="ru-RU"/>
    </w:rPr>
  </w:style>
  <w:style w:type="paragraph" w:styleId="1">
    <w:name w:val="heading 1"/>
    <w:basedOn w:val="a"/>
    <w:uiPriority w:val="1"/>
    <w:qFormat/>
    <w:pPr>
      <w:ind w:left="921" w:hanging="24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566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Microsoft Sans Serif" w:eastAsia="Microsoft Sans Serif" w:hAnsi="Microsoft Sans Serif" w:cs="Microsoft Sans Serif"/>
    </w:rPr>
  </w:style>
  <w:style w:type="paragraph" w:styleId="a5">
    <w:name w:val="Normal (Web)"/>
    <w:basedOn w:val="a"/>
    <w:uiPriority w:val="99"/>
    <w:semiHidden/>
    <w:unhideWhenUsed/>
    <w:rsid w:val="00A35B0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/Обязательства Businessmens.ru</vt:lpstr>
      <vt:lpstr>Обязательство Пользователя</vt:lpstr>
      <vt:lpstr>Условия оплаты</vt:lpstr>
      <vt:lpstr>Срок действия и изменение условий оферты</vt:lpstr>
      <vt:lpstr>Срок действия и изменение договора оферты</vt:lpstr>
      <vt:lpstr>Расторжения договора оферты</vt:lpstr>
      <vt:lpstr>Гарантии</vt:lpstr>
      <vt:lpstr>/Ответственность и ограничение ответственности Businessmens.ru</vt:lpstr>
      <vt:lpstr>Ответственность пользователя</vt:lpstr>
      <vt:lpstr>Прочие условия</vt:lpstr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damir</cp:lastModifiedBy>
  <cp:revision>2</cp:revision>
  <cp:lastPrinted>2019-05-16T11:30:00Z</cp:lastPrinted>
  <dcterms:created xsi:type="dcterms:W3CDTF">2019-08-05T10:01:00Z</dcterms:created>
  <dcterms:modified xsi:type="dcterms:W3CDTF">2019-08-05T10:01:00Z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2019-03-12T00:00:00Z</vt:filetime>
  </property>
  <property fmtid="{D5CDD505-2E9C-101B-9397-08002B2CF9AE}" pid="3" name="LastSaved">
    <vt:filetime>2019-03-12T00:00:00Z</vt:filetime>
  </property>
</Properties>
</file>