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CF20" w14:textId="57DC4F68" w:rsidR="00A64CF3" w:rsidRDefault="002D3B4C">
      <w:pPr>
        <w:rPr>
          <w:rFonts w:ascii="Microsoft Sans Serif" w:hAnsi="Microsoft Sans Serif"/>
          <w:sz w:val="21"/>
        </w:rPr>
      </w:pPr>
      <w:r w:rsidRPr="002D3B4C">
        <w:rPr>
          <w:rFonts w:ascii="Microsoft Sans Serif" w:hAnsi="Microsoft Sans Serif"/>
          <w:noProof/>
          <w:sz w:val="21"/>
          <w:lang w:bidi="ar-SA"/>
        </w:rPr>
        <w:drawing>
          <wp:inline distT="0" distB="0" distL="0" distR="0" wp14:anchorId="6F8D843D" wp14:editId="2316FC6B">
            <wp:extent cx="1727771" cy="22783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727771" cy="227838"/>
                    </a:xfrm>
                    <a:prstGeom prst="rect">
                      <a:avLst/>
                    </a:prstGeom>
                  </pic:spPr>
                </pic:pic>
              </a:graphicData>
            </a:graphic>
          </wp:inline>
        </w:drawing>
      </w:r>
    </w:p>
    <w:p w14:paraId="39DF2CAA" w14:textId="41C1451B" w:rsidR="00A35B05" w:rsidRDefault="00A35B05">
      <w:pPr>
        <w:rPr>
          <w:rFonts w:ascii="Microsoft Sans Serif" w:hAnsi="Microsoft Sans Serif"/>
          <w:sz w:val="21"/>
        </w:rPr>
      </w:pPr>
    </w:p>
    <w:p w14:paraId="2E85045C" w14:textId="62908B6D" w:rsidR="00A35B05" w:rsidRDefault="00A35B05">
      <w:pPr>
        <w:rPr>
          <w:rFonts w:ascii="Microsoft Sans Serif" w:hAnsi="Microsoft Sans Serif"/>
          <w:sz w:val="21"/>
        </w:rPr>
      </w:pPr>
    </w:p>
    <w:p w14:paraId="75CB3561" w14:textId="0A7DC201" w:rsidR="001E25CD" w:rsidRPr="001E25CD" w:rsidRDefault="001E25CD" w:rsidP="001E25CD">
      <w:pPr>
        <w:widowControl/>
        <w:shd w:val="clear" w:color="auto" w:fill="FFFFFF"/>
        <w:autoSpaceDE/>
        <w:autoSpaceDN/>
        <w:spacing w:before="100" w:beforeAutospacing="1" w:line="360" w:lineRule="atLeast"/>
        <w:jc w:val="center"/>
        <w:rPr>
          <w:rFonts w:ascii="Georgia" w:eastAsia="Times New Roman" w:hAnsi="Georgia" w:cs="Times New Roman"/>
          <w:color w:val="000000"/>
          <w:sz w:val="24"/>
          <w:szCs w:val="24"/>
          <w:lang w:bidi="ar-SA"/>
        </w:rPr>
      </w:pPr>
      <w:r w:rsidRPr="001E25CD">
        <w:rPr>
          <w:rFonts w:ascii="Georgia" w:eastAsia="Times New Roman" w:hAnsi="Georgia" w:cs="Times New Roman"/>
          <w:b/>
          <w:bCs/>
          <w:color w:val="000000"/>
          <w:sz w:val="24"/>
          <w:szCs w:val="24"/>
          <w:lang w:bidi="ar-SA"/>
        </w:rPr>
        <w:t>Резюме</w:t>
      </w:r>
    </w:p>
    <w:p w14:paraId="0FCBB744"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Общество с ограниченной ответственностью «Сентябрь» - организация, осуществляющая деятельность в сфере розничной торговли. Объектом ее интереса является рынок продовольственных товаров, рынок мебельной продукции и др. Так, ООО «Сентябрь» производит и реализует мягкую и корпусную мебель самого различного назначения на заказ по индивидуальным проектам как организаций, так и частных лиц.</w:t>
      </w:r>
    </w:p>
    <w:p w14:paraId="15425AD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 настоящее время в организации сформировался высокопрофессиональный кадровый состав. Квалифицированный персонал дизайнеров и проектировщиков в короткие сроки может предложить клиентам решение интерьеров как частных квартир, так и практически любых служебных помещений. Проектирование мебели осуществляется с применением специальных компьютерных программ, позволяющих достигать высокой точности при изготовлении мебельной продукции.</w:t>
      </w:r>
    </w:p>
    <w:p w14:paraId="2DA380E3"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Клиентами ООО «Сентябрь» являются как частные лица, так и организации</w:t>
      </w:r>
      <w:r w:rsidRPr="001E25CD">
        <w:rPr>
          <w:rFonts w:ascii="Georgia" w:eastAsia="Times New Roman" w:hAnsi="Georgia" w:cs="Times New Roman"/>
          <w:b/>
          <w:bCs/>
          <w:color w:val="000000"/>
          <w:sz w:val="24"/>
          <w:szCs w:val="24"/>
          <w:lang w:bidi="ar-SA"/>
        </w:rPr>
        <w:t>.</w:t>
      </w:r>
    </w:p>
    <w:p w14:paraId="74944054"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Продукцию ООО «Сентябрь» отличает продуманный и современный дизайн, учитывающий эргономические особенности человека, высокое качество исполнения и демократичные цены.</w:t>
      </w:r>
    </w:p>
    <w:p w14:paraId="7674DBBC"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Мебель, изготовленная в ООО «Сентябрь», производится из экологически чистых и сертифицированных материалов. Собственная производственная база позволяет решать различные технологические задачи. Кроме того, специалисты ООО «Сентябрь» проводят специализированные консультации по всем вопросам, связанным с изготовлением мебели, выбором материалов, фурнитуры, стекол, зеркал и т.д., а также оказывают помощь в оформлении заказов.</w:t>
      </w:r>
    </w:p>
    <w:p w14:paraId="7C1EB9FF"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 целью расширения объемов продаж фирма предполагает открыть новый магазин-салон в микрорайоне «Верхние Печеры». Отсутствие конкуренции в этом районе и наличие большого количества потенциальных покупателей обещает повышение объема продаж на и увеличение нормы прибыли.</w:t>
      </w:r>
    </w:p>
    <w:p w14:paraId="41D271D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Для открытия нового магазина ООО «Сентябрь» потребуется 500000 рублей. Для организации данного магазина фирме потребуется 3 месяца. Фирма предполагает охватить своей продукцией не менее 11% потенциальных покупателей различных районов г. Нижнего Новгорода.</w:t>
      </w:r>
    </w:p>
    <w:p w14:paraId="4165DE82"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Уверенность руководства в успешном развитии дел основывается на наличии большого количества потенциальных покупателей, для которых предназначена продукция фирмы.</w:t>
      </w:r>
    </w:p>
    <w:p w14:paraId="7C15EACE" w14:textId="12FBF813" w:rsidR="001E25CD" w:rsidRPr="001E25CD" w:rsidRDefault="001E25CD" w:rsidP="001E25CD">
      <w:pPr>
        <w:widowControl/>
        <w:shd w:val="clear" w:color="auto" w:fill="FFFFFF"/>
        <w:autoSpaceDE/>
        <w:autoSpaceDN/>
        <w:spacing w:before="100" w:beforeAutospacing="1" w:line="360" w:lineRule="atLeast"/>
        <w:jc w:val="center"/>
        <w:rPr>
          <w:rFonts w:ascii="Georgia" w:eastAsia="Times New Roman" w:hAnsi="Georgia" w:cs="Times New Roman"/>
          <w:color w:val="000000"/>
          <w:sz w:val="24"/>
          <w:szCs w:val="24"/>
          <w:lang w:bidi="ar-SA"/>
        </w:rPr>
      </w:pPr>
      <w:r w:rsidRPr="001E25CD">
        <w:rPr>
          <w:rFonts w:ascii="Georgia" w:eastAsia="Times New Roman" w:hAnsi="Georgia" w:cs="Times New Roman"/>
          <w:b/>
          <w:bCs/>
          <w:color w:val="000000"/>
          <w:sz w:val="24"/>
          <w:szCs w:val="24"/>
          <w:lang w:bidi="ar-SA"/>
        </w:rPr>
        <w:lastRenderedPageBreak/>
        <w:t>Описание организации и обзор отрасли</w:t>
      </w:r>
    </w:p>
    <w:p w14:paraId="6FDDC8E9"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Общество с ограниченной ответственностью «Сентябрь» было создано в 1999 году.</w:t>
      </w:r>
    </w:p>
    <w:p w14:paraId="2A71780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Организационно-правовая форма ООО «Сентябрь» - общество с ограниченной ответственностью. В соответствии со ст. 87 Гражданского кодекса РФ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14:paraId="5E164EE0"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ООО «Сентябрь» было создано в 1999г. двумя учредителями- физическими лицами: А.И. Антоновым и Б.П. Соколовым. Каждый из них внес в уставный капитал ООО «Сентябрь» по 5000 рублей, то есть доля каждого составляет 50%. Именно учредители ООО «Сентябрь» определяют стратегические аспекты функционирования рассматриваемого хозяйствующего субъекта. Они образуют высший орган управления ООО «Сентябрь» - собрание участников. Для руководства текущей деятельностью в организации назначается директор, который отчитывается перед учредителями. В настоящее время директором ООО «Сентябрь» является А.Г. Аксенов.</w:t>
      </w:r>
    </w:p>
    <w:p w14:paraId="18DCD94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Уже более 10 лет ООО «Сентябрь» работает на рынке продовольственных товаров Нижегородской области, однако 3 года назад было начато освоение нового рынка – рынка мебельной продукции. В настоящее время ООО «Сентябрь» специализируется на производстве мягкой и корпусной мебели. Ассортимент представлен как коллекциями современного дизайна, так и классическими элитными моделями. Мебель изготавливается на современном специализированном оборудовании с использованием отечественных и западных комплектующих и высококачественных натуральных материалов из Италии, Германии, Франции и Бельгии. Собственные производственные помещения площадью 1400 </w:t>
      </w:r>
      <w:proofErr w:type="spellStart"/>
      <w:r w:rsidRPr="001E25CD">
        <w:rPr>
          <w:rFonts w:ascii="Georgia" w:eastAsia="Times New Roman" w:hAnsi="Georgia" w:cs="Times New Roman"/>
          <w:color w:val="000000"/>
          <w:sz w:val="24"/>
          <w:szCs w:val="24"/>
          <w:lang w:bidi="ar-SA"/>
        </w:rPr>
        <w:t>м.кв</w:t>
      </w:r>
      <w:proofErr w:type="spellEnd"/>
      <w:r w:rsidRPr="001E25CD">
        <w:rPr>
          <w:rFonts w:ascii="Georgia" w:eastAsia="Times New Roman" w:hAnsi="Georgia" w:cs="Times New Roman"/>
          <w:color w:val="000000"/>
          <w:sz w:val="24"/>
          <w:szCs w:val="24"/>
          <w:lang w:bidi="ar-SA"/>
        </w:rPr>
        <w:t>. позволяют разместить и использовать современное оборудование, обеспечивающее производство мебели высокого качества и различного уровня сложности. Многие из выпущенных мебельных коллекций уникальны и не имеют аналогов по соотношению цена/качество. Мебель ООО «Сентябрь» изготавливается только высококвалифицированными работниками, прошедшими специальную профессиональную подготовку; все этапы создания мебели сопровождаются эффективной системой внутреннего контроля качества. Вся продукция проходит обязательную государственную сертификацию.</w:t>
      </w:r>
    </w:p>
    <w:p w14:paraId="6B87E323"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Цель компании – стать признанным лидером мебельной отрасли в Нижегородском регионе, сформировать современный, инновационный тип компании, способный быть успешной.</w:t>
      </w:r>
    </w:p>
    <w:p w14:paraId="5721A2F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Политика ООО «Сентябрь» ориентирована на обеспечение конкурентоспособности продукции, ее качества и разнообразия.</w:t>
      </w:r>
    </w:p>
    <w:p w14:paraId="40758AEA"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Головной офис организации располагается по адресу: Нижегородская область, г. Дзержинск, ул. Студенческая, 37.</w:t>
      </w:r>
    </w:p>
    <w:p w14:paraId="785EFAC9"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Дополнительным направлением деятельности ООО «Сентябрь» является проведение операций с коммерческой и жилой недвижимостью, однако с августа 2009г. функционирование в этой сфере временно приостановлено.</w:t>
      </w:r>
    </w:p>
    <w:p w14:paraId="6EC7F1A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Несмотря на тяжелые последствия недавнего кризиса ООО «Сентябрь» смогло преодолеть его последствия без значительных потерь. Несмотря на возникшие сложности, данный хозяйствующий субъект продолжает дальнейшее развитие. Последний год – это период активного расширения видов продукции. Так с июля 2009г. началось производство офисной мебели, производство широкого ассортимента зеркал, а также производство матрасов. Серьезное внимание уделяется развитию современных технологий организации труда и автоматизации производства, внедряется программа развития персонала предприятия.</w:t>
      </w:r>
    </w:p>
    <w:p w14:paraId="078F28AE"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В настоящее время организация продолжает вхождение на рынок мебельной продукции. В настоящее время ООО «Сентябрь» располагает собственной производственной базой (около 1400 </w:t>
      </w:r>
      <w:proofErr w:type="spellStart"/>
      <w:r w:rsidRPr="001E25CD">
        <w:rPr>
          <w:rFonts w:ascii="Georgia" w:eastAsia="Times New Roman" w:hAnsi="Georgia" w:cs="Times New Roman"/>
          <w:color w:val="000000"/>
          <w:sz w:val="24"/>
          <w:szCs w:val="24"/>
          <w:lang w:bidi="ar-SA"/>
        </w:rPr>
        <w:t>м.кв</w:t>
      </w:r>
      <w:proofErr w:type="spellEnd"/>
      <w:r w:rsidRPr="001E25CD">
        <w:rPr>
          <w:rFonts w:ascii="Georgia" w:eastAsia="Times New Roman" w:hAnsi="Georgia" w:cs="Times New Roman"/>
          <w:color w:val="000000"/>
          <w:sz w:val="24"/>
          <w:szCs w:val="24"/>
          <w:lang w:bidi="ar-SA"/>
        </w:rPr>
        <w:t>.), оснащенной современной техникой для производства мягкой и корпусной мебели. Реализацию мебели ООО «Сентябрь» осуществляет самостоятельно. ООО «Сентябрь» является владельцем двух мебельных магазинов в г. Дзержинск. Однако этого явно недостаточно. Именно поэтому и было принято решение об открытии еще одного точки продажи в г. Нижний Новгород.</w:t>
      </w:r>
    </w:p>
    <w:p w14:paraId="1A1862EC"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 настоящее время производство и продажа мебели является перспективным направлением деятельности. Мебельная промышленность развивается быстрее многих других российских отраслей - объем производства в 2005, 2006, 2007 гг. рос на 15-20% ежегодно. Динамика развития мебельного рынка позволяет передовым предприятиям расти на 300% в год. По данным Ассоциации предприятий мебельной и деревообрабатывающей промышленности России (АМДПР), в январе - июле 2008 г. российская мебельная промышленность увеличила производство на треть по сравнению с тем же периодом 2007 г. По итогам же 2007 г. производство выросло почти на четверть, объем продаж составил $4,5 млрд, а потребление мебели на душу населения увеличилось до $34. В конце 2008 и 2009гг. кризис внес свои коррективы в развитие данной сферы деятельности. Так, по мнению аналитиков, мебельная отрасль снизила производственные показатели более, чем в 3 раза, предприятия деревообработки пока снизили свою производительности на 23,5%.</w:t>
      </w:r>
    </w:p>
    <w:p w14:paraId="3497A4B1"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Российский рынок мебели отличается высокой степенью концентрации: 10 крупнейших компаний из более чем 3 тыс. производителей выпускают больше половины всей российской мебели. При этом 600 из них - достаточно крупные, а примерно 50 формируют рынок по цене и дизайну. Большинство из них - это крупные мебельные комбинаты, существующие еще с советских времен и специализирующиеся на корпусной мебели. Подавляющее большинство остальных компаний - небольшие, как правило, нелегальные производители, производящие продукцию с чужим </w:t>
      </w:r>
      <w:r w:rsidRPr="001E25CD">
        <w:rPr>
          <w:rFonts w:ascii="Georgia" w:eastAsia="Times New Roman" w:hAnsi="Georgia" w:cs="Times New Roman"/>
          <w:color w:val="000000"/>
          <w:sz w:val="24"/>
          <w:szCs w:val="24"/>
          <w:lang w:bidi="ar-SA"/>
        </w:rPr>
        <w:lastRenderedPageBreak/>
        <w:t>дизайном, иногда и под чужим брэндом, и реализующие ее на рынках или в мелких магазинчиках. Попытки участников рынка справиться с этим пока не слишком успешны. Но это уже не главная опасность. Реальная проблема для отечественных производителей - риски, связанные с иностранными игроками, в основном европейскими и азиатскими.</w:t>
      </w:r>
    </w:p>
    <w:p w14:paraId="3895F38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За 6 месяцев 2008 г. импорт мебели в Россию существенно возрос: 158,1% к уровню 2007 г., в том числе из стран дальнего зарубежья — 172,5%. При этом увеличение импорта в стоимостном выражении было существенно выше, чем в натуральном. Общая доля импорта на рынке увеличилась примерно на 4% и составила 48%, в том числе из стран дальнего зарубежья 42,3%, а с учётом теневого производства — 31 и 27,3% соответственно. Однако, для отечественной промышленности, занимающей более низкий ценовой сегмент, пока что сохраняется необходимая доля рынка, стимулирующая дальнейшее развитие производства. В 2008 г. соотношение по ввозу «дешёвой» и «дорогой» мебели на внутренний рынок практически не изменилось — соответственно, 20 и 80%.</w:t>
      </w:r>
    </w:p>
    <w:p w14:paraId="6BACDBC8"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Наиболее опасный для российских производителей является Китай. Он занимает 3-е место в мире по объемам производства мебели. За счёт низкой себестоимости средняя цена </w:t>
      </w:r>
      <w:proofErr w:type="gramStart"/>
      <w:r w:rsidRPr="001E25CD">
        <w:rPr>
          <w:rFonts w:ascii="Georgia" w:eastAsia="Times New Roman" w:hAnsi="Georgia" w:cs="Times New Roman"/>
          <w:color w:val="000000"/>
          <w:sz w:val="24"/>
          <w:szCs w:val="24"/>
          <w:lang w:bidi="ar-SA"/>
        </w:rPr>
        <w:t>мебели</w:t>
      </w:r>
      <w:proofErr w:type="gramEnd"/>
      <w:r w:rsidRPr="001E25CD">
        <w:rPr>
          <w:rFonts w:ascii="Georgia" w:eastAsia="Times New Roman" w:hAnsi="Georgia" w:cs="Times New Roman"/>
          <w:color w:val="000000"/>
          <w:sz w:val="24"/>
          <w:szCs w:val="24"/>
          <w:lang w:bidi="ar-SA"/>
        </w:rPr>
        <w:t xml:space="preserve"> ввозимой из Китая в Россию за 6 мес. 2008 г. увеличилась незначительно - на 6-10%. Таким образом, конкурентоспособность её на отечественном рынке высока, и при существующем уровне инфляции представляет реальную опасность для отечественной промышленности. Захват российского рынка китайской мебелью уже начался, однако присоединение к ВТО может существенно его ускорить. Российские мебельщики смогут уберечь свои позиции только за счет торговых сетей и известных марок.</w:t>
      </w:r>
    </w:p>
    <w:p w14:paraId="61788203"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Российская мебельная промышленность уже пережила один период иностранной угрозы - по официальным данным, за 2001-2004 гг. доля мебели, ввезенной из дальнего зарубежья, увеличилась на российском рынке примерно в три раза. Однако в конце 2004 г. российское правительство ввело новый порядок начисления импортных пошлин: на дорогую мебель их снизили, а на средний и эконом сегменты, где как раз и работают отечественные производители, - повысили. Это привело к снижению конкуренции и доли импорта до нынешнего уровня.</w:t>
      </w:r>
    </w:p>
    <w:p w14:paraId="67209EC1"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Объём экспорта мебели из России в 2008 г. был в 4,6 раза меньше объёма импорта. Заметных изменений в структуре экспорта не произошло. Опережающими темпами развивается экспорт в страны СНГ (140%), в то время как поставки в страны дальнего зарубежья составили всего лишь 105% к соответствующему периоду 2007 г. Цены на мебель, экспортируемую в страны СНГ, существенно превышают цены экспорта в страны дальнего зарубежья.</w:t>
      </w:r>
    </w:p>
    <w:p w14:paraId="69774101"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В 2009 г. не произошло и заметных изменений в производстве мебели по федеральным округам. Главными центрами мебельного производства остаются Центральный и Приволжский ФО. Между тем в Центральном ФО, включающем 18 </w:t>
      </w:r>
      <w:r w:rsidRPr="001E25CD">
        <w:rPr>
          <w:rFonts w:ascii="Georgia" w:eastAsia="Times New Roman" w:hAnsi="Georgia" w:cs="Times New Roman"/>
          <w:color w:val="000000"/>
          <w:sz w:val="24"/>
          <w:szCs w:val="24"/>
          <w:lang w:bidi="ar-SA"/>
        </w:rPr>
        <w:lastRenderedPageBreak/>
        <w:t>субъектов Федерации, более 80% производства сосредоточено лишь в трёх: - Московской (48,9%), Воронежской (11,2%) областях и в Москве (20,3%). Это объясняется наличием в них крупных фирм, которые развивают производство на базе предприятий, действовавших до перестройки.</w:t>
      </w:r>
    </w:p>
    <w:p w14:paraId="1F05BCF9" w14:textId="4E720783"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r w:rsidRPr="001E25CD">
        <w:rPr>
          <w:rFonts w:ascii="Georgia" w:eastAsia="Times New Roman" w:hAnsi="Georgia" w:cs="Times New Roman"/>
          <w:b/>
          <w:bCs/>
          <w:color w:val="000000"/>
          <w:sz w:val="24"/>
          <w:szCs w:val="24"/>
          <w:lang w:bidi="ar-SA"/>
        </w:rPr>
        <w:t>Характеристика продукции</w:t>
      </w:r>
    </w:p>
    <w:p w14:paraId="3A2F6EB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ООО «Сентябрь» производит и реализует следующие виды мебели:</w:t>
      </w:r>
    </w:p>
    <w:p w14:paraId="48B7C058" w14:textId="77777777" w:rsidR="001E25CD" w:rsidRPr="001E25CD" w:rsidRDefault="001E25CD" w:rsidP="001E25CD">
      <w:pPr>
        <w:widowControl/>
        <w:numPr>
          <w:ilvl w:val="0"/>
          <w:numId w:val="15"/>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кухонная мебель;</w:t>
      </w:r>
    </w:p>
    <w:p w14:paraId="4C5AC397" w14:textId="77777777" w:rsidR="001E25CD" w:rsidRPr="001E25CD" w:rsidRDefault="001E25CD" w:rsidP="001E25CD">
      <w:pPr>
        <w:widowControl/>
        <w:numPr>
          <w:ilvl w:val="0"/>
          <w:numId w:val="15"/>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мебель для спальной и гостиной комнат;</w:t>
      </w:r>
    </w:p>
    <w:p w14:paraId="510E469B" w14:textId="77777777" w:rsidR="001E25CD" w:rsidRPr="001E25CD" w:rsidRDefault="001E25CD" w:rsidP="001E25CD">
      <w:pPr>
        <w:widowControl/>
        <w:numPr>
          <w:ilvl w:val="0"/>
          <w:numId w:val="15"/>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детская мебель;</w:t>
      </w:r>
    </w:p>
    <w:p w14:paraId="2BB77E7A" w14:textId="77777777" w:rsidR="001E25CD" w:rsidRPr="001E25CD" w:rsidRDefault="001E25CD" w:rsidP="001E25CD">
      <w:pPr>
        <w:widowControl/>
        <w:numPr>
          <w:ilvl w:val="0"/>
          <w:numId w:val="15"/>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мебель для ванной комнаты;</w:t>
      </w:r>
    </w:p>
    <w:p w14:paraId="397BE3D0" w14:textId="77777777" w:rsidR="001E25CD" w:rsidRPr="001E25CD" w:rsidRDefault="001E25CD" w:rsidP="001E25CD">
      <w:pPr>
        <w:widowControl/>
        <w:numPr>
          <w:ilvl w:val="0"/>
          <w:numId w:val="15"/>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встроенные шкафы-купе на заказ;</w:t>
      </w:r>
    </w:p>
    <w:p w14:paraId="60DF8611" w14:textId="77777777" w:rsidR="001E25CD" w:rsidRPr="001E25CD" w:rsidRDefault="001E25CD" w:rsidP="001E25CD">
      <w:pPr>
        <w:widowControl/>
        <w:numPr>
          <w:ilvl w:val="0"/>
          <w:numId w:val="15"/>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шкафы для одежды и др. нужд</w:t>
      </w:r>
    </w:p>
    <w:p w14:paraId="7A271C67"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 перспективе возможно расширение ассортимента путем ввода следующих типов продукции:</w:t>
      </w:r>
    </w:p>
    <w:p w14:paraId="4979A0A4" w14:textId="77777777" w:rsidR="001E25CD" w:rsidRPr="001E25CD" w:rsidRDefault="001E25CD" w:rsidP="001E25CD">
      <w:pPr>
        <w:widowControl/>
        <w:numPr>
          <w:ilvl w:val="0"/>
          <w:numId w:val="16"/>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садовая мебель;</w:t>
      </w:r>
    </w:p>
    <w:p w14:paraId="5A148BEB" w14:textId="77777777" w:rsidR="001E25CD" w:rsidRPr="001E25CD" w:rsidRDefault="001E25CD" w:rsidP="001E25CD">
      <w:pPr>
        <w:widowControl/>
        <w:numPr>
          <w:ilvl w:val="0"/>
          <w:numId w:val="16"/>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межкомнатные двери.</w:t>
      </w:r>
    </w:p>
    <w:p w14:paraId="61489621"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Согласно ГОСТ 20400-80 «Продукция мебельного производства. Термины и определения» мебель разделяется по функциональному назначению:</w:t>
      </w:r>
    </w:p>
    <w:p w14:paraId="38B44F13" w14:textId="77777777" w:rsidR="001E25CD" w:rsidRPr="001E25CD" w:rsidRDefault="001E25CD" w:rsidP="001E25CD">
      <w:pPr>
        <w:widowControl/>
        <w:numPr>
          <w:ilvl w:val="0"/>
          <w:numId w:val="17"/>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мебель для хранения (корпусная);</w:t>
      </w:r>
    </w:p>
    <w:p w14:paraId="784A52A2" w14:textId="77777777" w:rsidR="001E25CD" w:rsidRPr="001E25CD" w:rsidRDefault="001E25CD" w:rsidP="001E25CD">
      <w:pPr>
        <w:widowControl/>
        <w:numPr>
          <w:ilvl w:val="0"/>
          <w:numId w:val="17"/>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мебель для сидения и лежания;</w:t>
      </w:r>
    </w:p>
    <w:p w14:paraId="5650FCAC" w14:textId="77777777" w:rsidR="001E25CD" w:rsidRPr="001E25CD" w:rsidRDefault="001E25CD" w:rsidP="001E25CD">
      <w:pPr>
        <w:widowControl/>
        <w:numPr>
          <w:ilvl w:val="0"/>
          <w:numId w:val="17"/>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мебель для работы и приема пищи;</w:t>
      </w:r>
    </w:p>
    <w:p w14:paraId="7BFA3B02" w14:textId="77777777" w:rsidR="001E25CD" w:rsidRPr="001E25CD" w:rsidRDefault="001E25CD" w:rsidP="001E25CD">
      <w:pPr>
        <w:widowControl/>
        <w:numPr>
          <w:ilvl w:val="0"/>
          <w:numId w:val="17"/>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мебель прочая.</w:t>
      </w:r>
    </w:p>
    <w:p w14:paraId="49B6A47A"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 зависимости от предназначения продукции принято выделять следующие типы мебели (Приложение 1).</w:t>
      </w:r>
    </w:p>
    <w:p w14:paraId="7ED0B3C2"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Можно выделить следующие основные достоинства продукции ООО «Сентябрь».</w:t>
      </w:r>
    </w:p>
    <w:p w14:paraId="278D18B5" w14:textId="77777777" w:rsidR="001E25CD" w:rsidRPr="001E25CD" w:rsidRDefault="001E25CD" w:rsidP="001E25CD">
      <w:pPr>
        <w:widowControl/>
        <w:numPr>
          <w:ilvl w:val="0"/>
          <w:numId w:val="18"/>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дизайн</w:t>
      </w:r>
    </w:p>
    <w:p w14:paraId="6AF99BB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Продукция создается известными итальянскими специалистами и при сохранении классической формы отражают большинство современных модных тенденций в дизайне мебели.</w:t>
      </w:r>
    </w:p>
    <w:p w14:paraId="04D78BA8"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Особый вид мебели придают зеркала с фацетом производства Бельгии, а также зеркала с красивым рисунком, нанесенным с помощью специального итальянского оборудования.</w:t>
      </w:r>
    </w:p>
    <w:p w14:paraId="5C156D4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На 4-й специализированной выставке «Мебель России» в г. Москве в 2007 году спальный гарнитур «Европа Милан-2» был отмечен в номинации «Лучшая дизайнерская разработка».</w:t>
      </w:r>
    </w:p>
    <w:p w14:paraId="3D0EB81A" w14:textId="77777777" w:rsidR="001E25CD" w:rsidRPr="001E25CD" w:rsidRDefault="001E25CD" w:rsidP="001E25CD">
      <w:pPr>
        <w:widowControl/>
        <w:numPr>
          <w:ilvl w:val="0"/>
          <w:numId w:val="19"/>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качество</w:t>
      </w:r>
    </w:p>
    <w:p w14:paraId="78B99FD3" w14:textId="77777777" w:rsidR="001E25CD" w:rsidRPr="001E25CD" w:rsidRDefault="001E25CD" w:rsidP="001E25CD">
      <w:pPr>
        <w:widowControl/>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В производстве мебели заявление о высоком качестве – это не просто рекламный ход, а характеристика, состоящая из совокупности конкретных параметров, определяющих срок службы и степень комфорта в использовании приобретаемого товара. Именно поэтому при производстве мебели мы используются высококачественные комплектующие. Так, двери шкафа и </w:t>
      </w:r>
      <w:proofErr w:type="spellStart"/>
      <w:r w:rsidRPr="001E25CD">
        <w:rPr>
          <w:rFonts w:ascii="Georgia" w:eastAsia="Times New Roman" w:hAnsi="Georgia" w:cs="Times New Roman"/>
          <w:color w:val="000000"/>
          <w:sz w:val="24"/>
          <w:szCs w:val="24"/>
          <w:lang w:bidi="ar-SA"/>
        </w:rPr>
        <w:t>шуфляды</w:t>
      </w:r>
      <w:proofErr w:type="spellEnd"/>
      <w:r w:rsidRPr="001E25CD">
        <w:rPr>
          <w:rFonts w:ascii="Georgia" w:eastAsia="Times New Roman" w:hAnsi="Georgia" w:cs="Times New Roman"/>
          <w:color w:val="000000"/>
          <w:sz w:val="24"/>
          <w:szCs w:val="24"/>
          <w:lang w:bidi="ar-SA"/>
        </w:rPr>
        <w:t xml:space="preserve"> комода, а также тумбочек открываются за счет бесшумных петель и направляющих фирмы «</w:t>
      </w:r>
      <w:proofErr w:type="spellStart"/>
      <w:r w:rsidRPr="001E25CD">
        <w:rPr>
          <w:rFonts w:ascii="Georgia" w:eastAsia="Times New Roman" w:hAnsi="Georgia" w:cs="Times New Roman"/>
          <w:color w:val="000000"/>
          <w:sz w:val="24"/>
          <w:szCs w:val="24"/>
          <w:lang w:bidi="ar-SA"/>
        </w:rPr>
        <w:t>Ferrari</w:t>
      </w:r>
      <w:proofErr w:type="spellEnd"/>
      <w:r w:rsidRPr="001E25CD">
        <w:rPr>
          <w:rFonts w:ascii="Georgia" w:eastAsia="Times New Roman" w:hAnsi="Georgia" w:cs="Times New Roman"/>
          <w:color w:val="000000"/>
          <w:sz w:val="24"/>
          <w:szCs w:val="24"/>
          <w:lang w:bidi="ar-SA"/>
        </w:rPr>
        <w:t>» (Италия), устанавливаемых даже на известные во всем мире итальянские кухни «</w:t>
      </w:r>
      <w:proofErr w:type="spellStart"/>
      <w:r w:rsidRPr="001E25CD">
        <w:rPr>
          <w:rFonts w:ascii="Georgia" w:eastAsia="Times New Roman" w:hAnsi="Georgia" w:cs="Times New Roman"/>
          <w:color w:val="000000"/>
          <w:sz w:val="24"/>
          <w:szCs w:val="24"/>
          <w:lang w:bidi="ar-SA"/>
        </w:rPr>
        <w:t>Scavolini</w:t>
      </w:r>
      <w:proofErr w:type="spellEnd"/>
      <w:r w:rsidRPr="001E25CD">
        <w:rPr>
          <w:rFonts w:ascii="Georgia" w:eastAsia="Times New Roman" w:hAnsi="Georgia" w:cs="Times New Roman"/>
          <w:color w:val="000000"/>
          <w:sz w:val="24"/>
          <w:szCs w:val="24"/>
          <w:lang w:bidi="ar-SA"/>
        </w:rPr>
        <w:t>», что подтверждает их высокое качество. Все мебельные гарнитуры изготавливаются из ламинированной плиты производства «Карелия ДСП», являющимся лучшим в России производителем мебельных плит. Карнизы, двери, спинки кроватей, боковины комодов и тумбочек украшены профилями МДФ. Все видимые кромки облицованы кромками ПВХ фирмы «</w:t>
      </w:r>
      <w:proofErr w:type="spellStart"/>
      <w:r w:rsidRPr="001E25CD">
        <w:rPr>
          <w:rFonts w:ascii="Georgia" w:eastAsia="Times New Roman" w:hAnsi="Georgia" w:cs="Times New Roman"/>
          <w:color w:val="000000"/>
          <w:sz w:val="24"/>
          <w:szCs w:val="24"/>
          <w:lang w:bidi="ar-SA"/>
        </w:rPr>
        <w:t>Rehau</w:t>
      </w:r>
      <w:proofErr w:type="spellEnd"/>
      <w:r w:rsidRPr="001E25CD">
        <w:rPr>
          <w:rFonts w:ascii="Georgia" w:eastAsia="Times New Roman" w:hAnsi="Georgia" w:cs="Times New Roman"/>
          <w:color w:val="000000"/>
          <w:sz w:val="24"/>
          <w:szCs w:val="24"/>
          <w:lang w:bidi="ar-SA"/>
        </w:rPr>
        <w:t>» (Германия). Спинки кроватей, крышки комодов, тумбочек и туалетного столика также облицованы 2-х миллиметровой кромкой ПВХ. Все комплекты мебели собираются на эксцентриковых стяжках фирмы «</w:t>
      </w:r>
      <w:proofErr w:type="spellStart"/>
      <w:r w:rsidRPr="001E25CD">
        <w:rPr>
          <w:rFonts w:ascii="Georgia" w:eastAsia="Times New Roman" w:hAnsi="Georgia" w:cs="Times New Roman"/>
          <w:color w:val="000000"/>
          <w:sz w:val="24"/>
          <w:szCs w:val="24"/>
          <w:lang w:bidi="ar-SA"/>
        </w:rPr>
        <w:t>Hafele</w:t>
      </w:r>
      <w:proofErr w:type="spellEnd"/>
      <w:r w:rsidRPr="001E25CD">
        <w:rPr>
          <w:rFonts w:ascii="Georgia" w:eastAsia="Times New Roman" w:hAnsi="Georgia" w:cs="Times New Roman"/>
          <w:color w:val="000000"/>
          <w:sz w:val="24"/>
          <w:szCs w:val="24"/>
          <w:lang w:bidi="ar-SA"/>
        </w:rPr>
        <w:t>» (Германия). Ручки и полкодержатели также производятся в Италии и обеспечивают как надежность всей конструкции, так и эстетику формы. Также следует отметить, что для производства мебели применяется современное оборудование, которое закупалось интегрированными комплексами у ведущих производителей из Германии и Италии, что также помогает достичь наивысшего качества всей продукции.</w:t>
      </w:r>
    </w:p>
    <w:p w14:paraId="04354E74" w14:textId="77777777" w:rsidR="001E25CD" w:rsidRPr="001E25CD" w:rsidRDefault="001E25CD" w:rsidP="001E25CD">
      <w:pPr>
        <w:widowControl/>
        <w:numPr>
          <w:ilvl w:val="0"/>
          <w:numId w:val="20"/>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комфорт</w:t>
      </w:r>
    </w:p>
    <w:p w14:paraId="0C0F61BB" w14:textId="77777777" w:rsidR="001E25CD" w:rsidRPr="001E25CD" w:rsidRDefault="001E25CD" w:rsidP="001E25CD">
      <w:pPr>
        <w:widowControl/>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Мебель компании «Сентябрь» не только отличается хорошим дизайном и изготавливается из высококачественных материалов, но и отвечает требованиям удобства и комфорта при ее использовании. Например, кровати спальных гарнитурах могут укомплектоваться ортопедической решеткой и ортопедическим матрацем с жаккардовой тканью. Серия гарнитуров «Европа» предлагает широкий выбор различных шкафов, как с распашными дверями, так и шкафов купе.</w:t>
      </w:r>
    </w:p>
    <w:p w14:paraId="4524EF24" w14:textId="77777777" w:rsidR="001E25CD" w:rsidRPr="001E25CD" w:rsidRDefault="001E25CD" w:rsidP="001E25CD">
      <w:pPr>
        <w:widowControl/>
        <w:numPr>
          <w:ilvl w:val="0"/>
          <w:numId w:val="21"/>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упаковка</w:t>
      </w:r>
    </w:p>
    <w:p w14:paraId="34F7185D" w14:textId="77777777" w:rsidR="001E25CD" w:rsidRPr="001E25CD" w:rsidRDefault="001E25CD" w:rsidP="001E25CD">
      <w:pPr>
        <w:widowControl/>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Все детали мебели упаковываются в трехслойный </w:t>
      </w:r>
      <w:proofErr w:type="spellStart"/>
      <w:r w:rsidRPr="001E25CD">
        <w:rPr>
          <w:rFonts w:ascii="Georgia" w:eastAsia="Times New Roman" w:hAnsi="Georgia" w:cs="Times New Roman"/>
          <w:color w:val="000000"/>
          <w:sz w:val="24"/>
          <w:szCs w:val="24"/>
          <w:lang w:bidi="ar-SA"/>
        </w:rPr>
        <w:t>гофрокартон</w:t>
      </w:r>
      <w:proofErr w:type="spellEnd"/>
      <w:r w:rsidRPr="001E25CD">
        <w:rPr>
          <w:rFonts w:ascii="Georgia" w:eastAsia="Times New Roman" w:hAnsi="Georgia" w:cs="Times New Roman"/>
          <w:color w:val="000000"/>
          <w:sz w:val="24"/>
          <w:szCs w:val="24"/>
          <w:lang w:bidi="ar-SA"/>
        </w:rPr>
        <w:t>, а фасады и детали, облицованные профилями МДФ, в специальную пузырчатую пленку, и перетягиваются специальными лентами, что позволяет доставить их до покупателя в идеальном состоянии.</w:t>
      </w:r>
    </w:p>
    <w:p w14:paraId="066E6AED" w14:textId="77777777" w:rsidR="001E25CD" w:rsidRPr="001E25CD" w:rsidRDefault="001E25CD" w:rsidP="001E25CD">
      <w:pPr>
        <w:widowControl/>
        <w:numPr>
          <w:ilvl w:val="0"/>
          <w:numId w:val="22"/>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стоимость</w:t>
      </w:r>
    </w:p>
    <w:p w14:paraId="5508AFFB" w14:textId="77777777" w:rsidR="001E25CD" w:rsidRPr="001E25CD" w:rsidRDefault="001E25CD" w:rsidP="001E25CD">
      <w:pPr>
        <w:widowControl/>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Цены на мебель полностью конкурентоспособны по сравнению с продукцией других российских производителей. Прайс-листы на отдельные виды продукции представлены в Приложении 2, 3.</w:t>
      </w:r>
    </w:p>
    <w:p w14:paraId="49541EA1" w14:textId="77777777" w:rsidR="001E25CD" w:rsidRPr="001E25CD" w:rsidRDefault="001E25CD" w:rsidP="001E25CD">
      <w:pPr>
        <w:widowControl/>
        <w:numPr>
          <w:ilvl w:val="0"/>
          <w:numId w:val="23"/>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надежность</w:t>
      </w:r>
    </w:p>
    <w:p w14:paraId="3B27D64A" w14:textId="77777777" w:rsidR="001E25CD" w:rsidRPr="001E25CD" w:rsidRDefault="001E25CD" w:rsidP="001E25CD">
      <w:pPr>
        <w:widowControl/>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Мебель надежна в эксплуатации. Она прошла тест на проверку надежности и безопасности. Конструкция мебели обеспечивает полную безопасность: углы мебели; все закрепления сделаны очень устойчиво.</w:t>
      </w:r>
    </w:p>
    <w:p w14:paraId="02549985" w14:textId="241D936F"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r w:rsidRPr="001E25CD">
        <w:rPr>
          <w:rFonts w:ascii="Georgia" w:eastAsia="Times New Roman" w:hAnsi="Georgia" w:cs="Times New Roman"/>
          <w:b/>
          <w:bCs/>
          <w:color w:val="000000"/>
          <w:sz w:val="24"/>
          <w:szCs w:val="24"/>
          <w:lang w:bidi="ar-SA"/>
        </w:rPr>
        <w:t>Анализ рынка</w:t>
      </w:r>
    </w:p>
    <w:p w14:paraId="0292457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Рассмотрим основные аспекты рынка функционирования ООО «Сентябрь».</w:t>
      </w:r>
    </w:p>
    <w:p w14:paraId="40804213"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Основными потребителями продукции ООО «Сентябрь» являются покупатели, краткая характеристика которых представлена ниже. Чаще всего посетителями мебельных магазинов являются женщины. Гораздо чаще других возрастных групп магазины посещает молодежь до 30 лет и представители старшей группы (свыше 49 лет).</w:t>
      </w:r>
    </w:p>
    <w:p w14:paraId="13739AD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Лица с высшим и незаконченным высшим образованием посещают мебельные магазины почти в пять раз чаще, чем люди со средним образованием и ниже (рисунок 1).</w:t>
      </w:r>
    </w:p>
    <w:p w14:paraId="55079799" w14:textId="0908F3A2" w:rsidR="001E25CD" w:rsidRPr="001E25CD" w:rsidRDefault="001E25CD" w:rsidP="001E25CD">
      <w:pPr>
        <w:widowControl/>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noProof/>
          <w:color w:val="000000"/>
          <w:sz w:val="24"/>
          <w:szCs w:val="24"/>
          <w:lang w:bidi="ar-SA"/>
        </w:rPr>
        <w:drawing>
          <wp:inline distT="0" distB="0" distL="0" distR="0" wp14:anchorId="4D62084D" wp14:editId="3435A508">
            <wp:extent cx="6143625" cy="2114550"/>
            <wp:effectExtent l="0" t="0" r="0" b="0"/>
            <wp:docPr id="10" name="Рисунок 10" descr="https://works.doklad.ru/images/l9KJAlBLSW4/m9b6ce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l9KJAlBLSW4/m9b6ce1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2114550"/>
                    </a:xfrm>
                    <a:prstGeom prst="rect">
                      <a:avLst/>
                    </a:prstGeom>
                    <a:noFill/>
                    <a:ln>
                      <a:noFill/>
                    </a:ln>
                  </pic:spPr>
                </pic:pic>
              </a:graphicData>
            </a:graphic>
          </wp:inline>
        </w:drawing>
      </w:r>
    </w:p>
    <w:p w14:paraId="1F4FA798" w14:textId="77777777" w:rsidR="001E25CD" w:rsidRPr="001E25CD" w:rsidRDefault="001E25CD" w:rsidP="001E25CD">
      <w:pPr>
        <w:widowControl/>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Рисунок 1. Распределение покупателей мебели по уровню образования</w:t>
      </w:r>
    </w:p>
    <w:p w14:paraId="4DDD31F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Чаще других мебельные магазины посещают руководители и первые заместители предприятий, организаций, учреждений, служащие, предприниматели, домохозяйки. Значительно реже — безработные и рабочие (рисунок 2).</w:t>
      </w:r>
    </w:p>
    <w:p w14:paraId="39D35A21" w14:textId="238ABE33" w:rsidR="001E25CD" w:rsidRPr="001E25CD" w:rsidRDefault="001E25CD" w:rsidP="001E25CD">
      <w:pPr>
        <w:widowControl/>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noProof/>
          <w:color w:val="000000"/>
          <w:sz w:val="24"/>
          <w:szCs w:val="24"/>
          <w:lang w:bidi="ar-SA"/>
        </w:rPr>
        <w:lastRenderedPageBreak/>
        <w:drawing>
          <wp:inline distT="0" distB="0" distL="0" distR="0" wp14:anchorId="44E55A46" wp14:editId="3B75715D">
            <wp:extent cx="6153150" cy="3371850"/>
            <wp:effectExtent l="0" t="0" r="0" b="0"/>
            <wp:docPr id="8" name="Рисунок 8" descr="https://works.doklad.ru/images/l9KJAlBLSW4/3f0ea5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ks.doklad.ru/images/l9KJAlBLSW4/3f0ea54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50" cy="3371850"/>
                    </a:xfrm>
                    <a:prstGeom prst="rect">
                      <a:avLst/>
                    </a:prstGeom>
                    <a:noFill/>
                    <a:ln>
                      <a:noFill/>
                    </a:ln>
                  </pic:spPr>
                </pic:pic>
              </a:graphicData>
            </a:graphic>
          </wp:inline>
        </w:drawing>
      </w:r>
      <w:r w:rsidRPr="001E25CD">
        <w:rPr>
          <w:rFonts w:ascii="Georgia" w:eastAsia="Times New Roman" w:hAnsi="Georgia" w:cs="Times New Roman"/>
          <w:color w:val="000000"/>
          <w:sz w:val="24"/>
          <w:szCs w:val="24"/>
          <w:lang w:bidi="ar-SA"/>
        </w:rPr>
        <w:t>Рисунок 2. Распределение выборки по социально-профессиональному статусу</w:t>
      </w:r>
    </w:p>
    <w:p w14:paraId="7C3565B2"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 рисунке 3 указано распределение выборки по группам в зависимости от уровня дохода на одного члена семьи в месяц.</w:t>
      </w:r>
    </w:p>
    <w:p w14:paraId="278B695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Как правило, посетители мебельных магазинов — лица со среднедушевым доходом свыше 1 500 руб. на члена семьи. При этом частота посещений, по-видимому, не зависит от того, насколько доход семьи превышает пороговую величину 1 500 руб.</w:t>
      </w:r>
    </w:p>
    <w:p w14:paraId="2A54AB89" w14:textId="10058106" w:rsidR="001E25CD" w:rsidRPr="001E25CD" w:rsidRDefault="001E25CD" w:rsidP="001E25CD">
      <w:pPr>
        <w:widowControl/>
        <w:shd w:val="clear" w:color="auto" w:fill="FFFFFF"/>
        <w:autoSpaceDE/>
        <w:autoSpaceDN/>
        <w:spacing w:before="100" w:beforeAutospacing="1" w:line="360" w:lineRule="atLeast"/>
        <w:jc w:val="center"/>
        <w:rPr>
          <w:rFonts w:ascii="Georgia" w:eastAsia="Times New Roman" w:hAnsi="Georgia" w:cs="Times New Roman"/>
          <w:color w:val="000000"/>
          <w:sz w:val="24"/>
          <w:szCs w:val="24"/>
          <w:lang w:bidi="ar-SA"/>
        </w:rPr>
      </w:pPr>
      <w:r w:rsidRPr="001E25CD">
        <w:rPr>
          <w:rFonts w:ascii="Georgia" w:eastAsia="Times New Roman" w:hAnsi="Georgia" w:cs="Times New Roman"/>
          <w:noProof/>
          <w:color w:val="000000"/>
          <w:sz w:val="24"/>
          <w:szCs w:val="24"/>
          <w:lang w:bidi="ar-SA"/>
        </w:rPr>
        <w:drawing>
          <wp:inline distT="0" distB="0" distL="0" distR="0" wp14:anchorId="2DC50347" wp14:editId="4C20590F">
            <wp:extent cx="5867400" cy="2657475"/>
            <wp:effectExtent l="0" t="0" r="0" b="9525"/>
            <wp:docPr id="7" name="Рисунок 7" descr="https://works.doklad.ru/images/l9KJAlBLSW4/m27f00c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orks.doklad.ru/images/l9KJAlBLSW4/m27f00c7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657475"/>
                    </a:xfrm>
                    <a:prstGeom prst="rect">
                      <a:avLst/>
                    </a:prstGeom>
                    <a:noFill/>
                    <a:ln>
                      <a:noFill/>
                    </a:ln>
                  </pic:spPr>
                </pic:pic>
              </a:graphicData>
            </a:graphic>
          </wp:inline>
        </w:drawing>
      </w:r>
    </w:p>
    <w:p w14:paraId="0D456F74" w14:textId="77777777" w:rsidR="001E25CD" w:rsidRPr="001E25CD" w:rsidRDefault="001E25CD" w:rsidP="001E25CD">
      <w:pPr>
        <w:widowControl/>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Рисунок 3. Распределение покупателей мебели по уровню дохода</w:t>
      </w:r>
    </w:p>
    <w:p w14:paraId="3BD16FF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Люди с высшим образованием намерены покупать мебель почти в два раза чаще, чем лица со средним образованием и в четыре раза чаще, чем с образованием ниже среднего.</w:t>
      </w:r>
    </w:p>
    <w:p w14:paraId="6CC0FA6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Наибольший интерес в качестве целевой группы потенциальных покупателей вызывают руководители предприятий, организаций, учреждений, предприниматели, студенты, служащие и домохозяйки.</w:t>
      </w:r>
    </w:p>
    <w:p w14:paraId="4252E037"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Востребованность различных предметов мебели потенциальными покупателями</w:t>
      </w:r>
    </w:p>
    <w:p w14:paraId="00706AA3"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Наиболее востребованный покупателями предмет мебели — стенка, в том числе «для кухни» — 31% от потенциальных покупателей, «для гостиной» — 27% и «для прихожей» — 14% (Приложение 4).</w:t>
      </w:r>
    </w:p>
    <w:p w14:paraId="73B79BB8"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Существенными параметрами, которыми руководствуется большинство покупателей при выборе мебели (кроме цены), являются цвет и материал.</w:t>
      </w:r>
    </w:p>
    <w:p w14:paraId="65DDDE00"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Сервисное обслуживание при покупке мебели считает очень важным моментом 41% опрошенных покупателей. Еще 37% респондентов склоняются к тому, что сервисное обслуживание скорее важно, чем не важно. Не очень важным и совсем не важным этот фактор является для 23% потенциальных покупателей (Приложение 5).</w:t>
      </w:r>
    </w:p>
    <w:p w14:paraId="0B9A8AA2"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Условия оплаты являются очень важным фактором для 40% покупателей и скорее важным, чем не важным — для 24%. Однако для 35% покупателей мебели условия оплаты не играют особой роли (Приложение 6).</w:t>
      </w:r>
    </w:p>
    <w:p w14:paraId="42C51A28"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Таким образом, портрет потенциального покупателя продукции ООО «Сентябрь» выглядит следующим образом:</w:t>
      </w:r>
    </w:p>
    <w:p w14:paraId="1E8937F1" w14:textId="77777777" w:rsidR="001E25CD" w:rsidRPr="001E25CD" w:rsidRDefault="001E25CD" w:rsidP="001E25CD">
      <w:pPr>
        <w:widowControl/>
        <w:numPr>
          <w:ilvl w:val="0"/>
          <w:numId w:val="24"/>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доход свыше 6000 на одного члена семьи;</w:t>
      </w:r>
    </w:p>
    <w:p w14:paraId="1133D000" w14:textId="77777777" w:rsidR="001E25CD" w:rsidRPr="001E25CD" w:rsidRDefault="001E25CD" w:rsidP="001E25CD">
      <w:pPr>
        <w:widowControl/>
        <w:numPr>
          <w:ilvl w:val="0"/>
          <w:numId w:val="24"/>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возрастные характеристики позволяют выделить две группы потенциальных покупателей: молодежь до 30 лет (как правило, приобретает мебель впервые) и представители старшей возрастной группы (от 49 до 55 лет, высокий социальный статус, как правило, приобретают мебель с целью замены старой);</w:t>
      </w:r>
    </w:p>
    <w:p w14:paraId="0BBF535D" w14:textId="77777777" w:rsidR="001E25CD" w:rsidRPr="001E25CD" w:rsidRDefault="001E25CD" w:rsidP="001E25CD">
      <w:pPr>
        <w:widowControl/>
        <w:numPr>
          <w:ilvl w:val="0"/>
          <w:numId w:val="24"/>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по половому признаку покупателями могут быть и женщины, и мужчины, однако существует некоторое преобладание женщин, которое объясняется традиционным распределением семейных обязанностей по созданию уюта в доме;</w:t>
      </w:r>
    </w:p>
    <w:p w14:paraId="45EDD593" w14:textId="77777777" w:rsidR="001E25CD" w:rsidRPr="001E25CD" w:rsidRDefault="001E25CD" w:rsidP="001E25CD">
      <w:pPr>
        <w:widowControl/>
        <w:numPr>
          <w:ilvl w:val="0"/>
          <w:numId w:val="24"/>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покупатели, как правило, имеют высшее образование;</w:t>
      </w:r>
    </w:p>
    <w:p w14:paraId="50274A7C" w14:textId="77777777" w:rsidR="001E25CD" w:rsidRPr="001E25CD" w:rsidRDefault="001E25CD" w:rsidP="001E25CD">
      <w:pPr>
        <w:widowControl/>
        <w:numPr>
          <w:ilvl w:val="0"/>
          <w:numId w:val="24"/>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сферы трудовой деятельности - различны;</w:t>
      </w:r>
    </w:p>
    <w:p w14:paraId="0E6147F9" w14:textId="77777777" w:rsidR="001E25CD" w:rsidRPr="001E25CD" w:rsidRDefault="001E25CD" w:rsidP="001E25CD">
      <w:pPr>
        <w:widowControl/>
        <w:numPr>
          <w:ilvl w:val="0"/>
          <w:numId w:val="24"/>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основной объединяющий фактор – желание приобрести качественную мебель по доступной цене.</w:t>
      </w:r>
    </w:p>
    <w:p w14:paraId="4512D587"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Конкуренция на рынке производства и реализации мебельной продукции достаточно высока. </w:t>
      </w:r>
      <w:proofErr w:type="gramStart"/>
      <w:r w:rsidRPr="001E25CD">
        <w:rPr>
          <w:rFonts w:ascii="Georgia" w:eastAsia="Times New Roman" w:hAnsi="Georgia" w:cs="Times New Roman"/>
          <w:color w:val="000000"/>
          <w:sz w:val="24"/>
          <w:szCs w:val="24"/>
          <w:lang w:bidi="ar-SA"/>
        </w:rPr>
        <w:t>С одной стороны</w:t>
      </w:r>
      <w:proofErr w:type="gramEnd"/>
      <w:r w:rsidRPr="001E25CD">
        <w:rPr>
          <w:rFonts w:ascii="Georgia" w:eastAsia="Times New Roman" w:hAnsi="Georgia" w:cs="Times New Roman"/>
          <w:color w:val="000000"/>
          <w:sz w:val="24"/>
          <w:szCs w:val="24"/>
          <w:lang w:bidi="ar-SA"/>
        </w:rPr>
        <w:t xml:space="preserve"> конкурентами являются фирмы, которые как производят, так и реализуют свою продукцию, с другой стороны, в число конкурентов входят и фирмы, занимающиеся только торговлей мебелью.</w:t>
      </w:r>
    </w:p>
    <w:p w14:paraId="7E966D1D"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Основными конкурентами ООО «Сентябрь» являются: ООО «Орион», ООО «Стиль», ООО «Континент».</w:t>
      </w:r>
    </w:p>
    <w:p w14:paraId="6BE4DFE7"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Приведем их краткую характеристику.</w:t>
      </w:r>
    </w:p>
    <w:p w14:paraId="466E9030"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ООО «Орион» имеет три магазина в различных частях г. Нижнего Новгорода. Увеличение объема сбыта достигается путем открытия магазинов в разных районах города. Фирма предоставляет право выбора материала обивки, варианта комплектации. Цены выше, чем у ООО «Сентябрь». Фирма «Орион» участвует в мебельных выставках. Бесплатной доставки мебели нет.</w:t>
      </w:r>
    </w:p>
    <w:p w14:paraId="1A9E513D"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ООО «Стиль имеет два салона в г. Нижний Новгород. Фирма предоставляет право выбора материала обивки (около 60 видов тканей), варианта комплектации. Фирма предоставляет разнообразную качественную продукцию. Бесплатная доставка мебели имеет место.</w:t>
      </w:r>
    </w:p>
    <w:p w14:paraId="469F55C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ООО «Континент» предоставляет 15 наименований качественной и разнообразной мебели. Продукция реализуется через мебельные магазины. Выбора обивки нет, бесплатная доставки мебели есть.</w:t>
      </w:r>
    </w:p>
    <w:p w14:paraId="69AB3545" w14:textId="77777777" w:rsidR="001E25CD" w:rsidRPr="001E25CD" w:rsidRDefault="001E25CD" w:rsidP="001E25CD">
      <w:pPr>
        <w:widowControl/>
        <w:shd w:val="clear" w:color="auto" w:fill="FFFFFF"/>
        <w:autoSpaceDE/>
        <w:autoSpaceDN/>
        <w:spacing w:before="100" w:beforeAutospacing="1" w:line="360" w:lineRule="atLeast"/>
        <w:ind w:firstLine="709"/>
        <w:jc w:val="righ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Таблица 1</w:t>
      </w:r>
    </w:p>
    <w:p w14:paraId="682780D0" w14:textId="77777777"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Сравнительные данные по ценам на мебель в 2009г.</w:t>
      </w:r>
    </w:p>
    <w:tbl>
      <w:tblPr>
        <w:tblW w:w="10332" w:type="dxa"/>
        <w:tblCellSpacing w:w="0" w:type="dxa"/>
        <w:tblInd w:w="15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3404"/>
        <w:gridCol w:w="759"/>
        <w:gridCol w:w="1786"/>
        <w:gridCol w:w="1562"/>
        <w:gridCol w:w="1424"/>
        <w:gridCol w:w="1397"/>
      </w:tblGrid>
      <w:tr w:rsidR="001E25CD" w:rsidRPr="001E25CD" w14:paraId="1F640F9D" w14:textId="77777777" w:rsidTr="001E25CD">
        <w:trPr>
          <w:tblCellSpacing w:w="0" w:type="dxa"/>
        </w:trPr>
        <w:tc>
          <w:tcPr>
            <w:tcW w:w="390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4E85A937"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Ассортимент</w:t>
            </w:r>
          </w:p>
        </w:tc>
        <w:tc>
          <w:tcPr>
            <w:tcW w:w="79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78B99445"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Ед</w:t>
            </w:r>
            <w:proofErr w:type="spellEnd"/>
            <w:r w:rsidRPr="001E25CD">
              <w:rPr>
                <w:rFonts w:ascii="Georgia" w:eastAsia="Times New Roman" w:hAnsi="Georgia" w:cs="Times New Roman"/>
                <w:sz w:val="18"/>
                <w:szCs w:val="18"/>
                <w:lang w:bidi="ar-SA"/>
              </w:rPr>
              <w:t xml:space="preserve"> </w:t>
            </w:r>
            <w:proofErr w:type="spellStart"/>
            <w:r w:rsidRPr="001E25CD">
              <w:rPr>
                <w:rFonts w:ascii="Georgia" w:eastAsia="Times New Roman" w:hAnsi="Georgia" w:cs="Times New Roman"/>
                <w:sz w:val="18"/>
                <w:szCs w:val="18"/>
                <w:lang w:bidi="ar-SA"/>
              </w:rPr>
              <w:t>изм</w:t>
            </w:r>
            <w:proofErr w:type="spellEnd"/>
          </w:p>
        </w:tc>
        <w:tc>
          <w:tcPr>
            <w:tcW w:w="5624"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14:paraId="027A0D7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2009 г.</w:t>
            </w:r>
          </w:p>
        </w:tc>
      </w:tr>
      <w:tr w:rsidR="001E25CD" w:rsidRPr="001E25CD" w14:paraId="74C1E137" w14:textId="77777777" w:rsidTr="001E25CD">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14:paraId="5CB7AB0A" w14:textId="77777777" w:rsidR="001E25CD" w:rsidRPr="001E25CD" w:rsidRDefault="001E25CD" w:rsidP="001E25CD">
            <w:pPr>
              <w:widowControl/>
              <w:autoSpaceDE/>
              <w:autoSpaceDN/>
              <w:rPr>
                <w:rFonts w:ascii="Georgia" w:eastAsia="Times New Roman" w:hAnsi="Georgia" w:cs="Times New Roman"/>
                <w:sz w:val="18"/>
                <w:szCs w:val="18"/>
                <w:lang w:bidi="ar-SA"/>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14:paraId="0D298789" w14:textId="77777777" w:rsidR="001E25CD" w:rsidRPr="001E25CD" w:rsidRDefault="001E25CD" w:rsidP="001E25CD">
            <w:pPr>
              <w:widowControl/>
              <w:autoSpaceDE/>
              <w:autoSpaceDN/>
              <w:rPr>
                <w:rFonts w:ascii="Georgia" w:eastAsia="Times New Roman" w:hAnsi="Georgia" w:cs="Times New Roman"/>
                <w:sz w:val="18"/>
                <w:szCs w:val="18"/>
                <w:lang w:bidi="ar-SA"/>
              </w:rPr>
            </w:pPr>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0D4151A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«Сентябрь»</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1DE59CE7"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«Орион»</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0CC116B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«Стиль»</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669171A6"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«Континент»</w:t>
            </w:r>
          </w:p>
        </w:tc>
      </w:tr>
      <w:tr w:rsidR="001E25CD" w:rsidRPr="001E25CD" w14:paraId="53E58591" w14:textId="77777777" w:rsidTr="001E25CD">
        <w:trPr>
          <w:trHeight w:val="90"/>
          <w:tblCellSpacing w:w="0" w:type="dxa"/>
        </w:trPr>
        <w:tc>
          <w:tcPr>
            <w:tcW w:w="3909" w:type="dxa"/>
            <w:tcBorders>
              <w:top w:val="outset" w:sz="6" w:space="0" w:color="000000"/>
              <w:left w:val="outset" w:sz="6" w:space="0" w:color="000000"/>
              <w:bottom w:val="outset" w:sz="6" w:space="0" w:color="000000"/>
              <w:right w:val="outset" w:sz="6" w:space="0" w:color="000000"/>
            </w:tcBorders>
            <w:shd w:val="clear" w:color="auto" w:fill="FFFFFF"/>
            <w:hideMark/>
          </w:tcPr>
          <w:p w14:paraId="4CE9FB1B"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Шкаф платьевой</w:t>
            </w:r>
          </w:p>
        </w:tc>
        <w:tc>
          <w:tcPr>
            <w:tcW w:w="799" w:type="dxa"/>
            <w:tcBorders>
              <w:top w:val="outset" w:sz="6" w:space="0" w:color="000000"/>
              <w:left w:val="outset" w:sz="6" w:space="0" w:color="000000"/>
              <w:bottom w:val="outset" w:sz="6" w:space="0" w:color="000000"/>
              <w:right w:val="outset" w:sz="6" w:space="0" w:color="000000"/>
            </w:tcBorders>
            <w:shd w:val="clear" w:color="auto" w:fill="FFFFFF"/>
            <w:hideMark/>
          </w:tcPr>
          <w:p w14:paraId="47532C06"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Шт</w:t>
            </w:r>
            <w:proofErr w:type="spellEnd"/>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5CCCCDA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5400</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37F95F1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7000</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74C2121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5500</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543D6F5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5250</w:t>
            </w:r>
          </w:p>
        </w:tc>
      </w:tr>
      <w:tr w:rsidR="001E25CD" w:rsidRPr="001E25CD" w14:paraId="133421A2" w14:textId="77777777" w:rsidTr="001E25CD">
        <w:trPr>
          <w:tblCellSpacing w:w="0" w:type="dxa"/>
        </w:trPr>
        <w:tc>
          <w:tcPr>
            <w:tcW w:w="3909" w:type="dxa"/>
            <w:tcBorders>
              <w:top w:val="outset" w:sz="6" w:space="0" w:color="000000"/>
              <w:left w:val="outset" w:sz="6" w:space="0" w:color="000000"/>
              <w:bottom w:val="outset" w:sz="6" w:space="0" w:color="000000"/>
              <w:right w:val="outset" w:sz="6" w:space="0" w:color="000000"/>
            </w:tcBorders>
            <w:shd w:val="clear" w:color="auto" w:fill="FFFFFF"/>
            <w:hideMark/>
          </w:tcPr>
          <w:p w14:paraId="2741FC85"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Диван</w:t>
            </w:r>
          </w:p>
        </w:tc>
        <w:tc>
          <w:tcPr>
            <w:tcW w:w="799" w:type="dxa"/>
            <w:tcBorders>
              <w:top w:val="outset" w:sz="6" w:space="0" w:color="000000"/>
              <w:left w:val="outset" w:sz="6" w:space="0" w:color="000000"/>
              <w:bottom w:val="outset" w:sz="6" w:space="0" w:color="000000"/>
              <w:right w:val="outset" w:sz="6" w:space="0" w:color="000000"/>
            </w:tcBorders>
            <w:shd w:val="clear" w:color="auto" w:fill="FFFFFF"/>
            <w:hideMark/>
          </w:tcPr>
          <w:p w14:paraId="298142E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Шт</w:t>
            </w:r>
            <w:proofErr w:type="spellEnd"/>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5EF131F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7500</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6616056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12000</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75DB11BE"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6780</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70449C7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7600</w:t>
            </w:r>
          </w:p>
        </w:tc>
      </w:tr>
      <w:tr w:rsidR="001E25CD" w:rsidRPr="001E25CD" w14:paraId="2C99FA43" w14:textId="77777777" w:rsidTr="001E25CD">
        <w:trPr>
          <w:trHeight w:val="15"/>
          <w:tblCellSpacing w:w="0" w:type="dxa"/>
        </w:trPr>
        <w:tc>
          <w:tcPr>
            <w:tcW w:w="3909" w:type="dxa"/>
            <w:tcBorders>
              <w:top w:val="outset" w:sz="6" w:space="0" w:color="000000"/>
              <w:left w:val="outset" w:sz="6" w:space="0" w:color="000000"/>
              <w:bottom w:val="outset" w:sz="6" w:space="0" w:color="000000"/>
              <w:right w:val="outset" w:sz="6" w:space="0" w:color="000000"/>
            </w:tcBorders>
            <w:shd w:val="clear" w:color="auto" w:fill="FFFFFF"/>
            <w:hideMark/>
          </w:tcPr>
          <w:p w14:paraId="51FAFC9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Тахта</w:t>
            </w:r>
          </w:p>
        </w:tc>
        <w:tc>
          <w:tcPr>
            <w:tcW w:w="799" w:type="dxa"/>
            <w:tcBorders>
              <w:top w:val="outset" w:sz="6" w:space="0" w:color="000000"/>
              <w:left w:val="outset" w:sz="6" w:space="0" w:color="000000"/>
              <w:bottom w:val="outset" w:sz="6" w:space="0" w:color="000000"/>
              <w:right w:val="outset" w:sz="6" w:space="0" w:color="000000"/>
            </w:tcBorders>
            <w:shd w:val="clear" w:color="auto" w:fill="FFFFFF"/>
            <w:hideMark/>
          </w:tcPr>
          <w:p w14:paraId="24B85A2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Шт</w:t>
            </w:r>
            <w:proofErr w:type="spellEnd"/>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4F66B62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7200</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32679E7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11000</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4C35EA1B"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7000</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4B62E93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7500</w:t>
            </w:r>
          </w:p>
        </w:tc>
      </w:tr>
      <w:tr w:rsidR="001E25CD" w:rsidRPr="001E25CD" w14:paraId="6D075D93" w14:textId="77777777" w:rsidTr="001E25CD">
        <w:trPr>
          <w:trHeight w:val="105"/>
          <w:tblCellSpacing w:w="0" w:type="dxa"/>
        </w:trPr>
        <w:tc>
          <w:tcPr>
            <w:tcW w:w="3909" w:type="dxa"/>
            <w:tcBorders>
              <w:top w:val="outset" w:sz="6" w:space="0" w:color="000000"/>
              <w:left w:val="outset" w:sz="6" w:space="0" w:color="000000"/>
              <w:bottom w:val="outset" w:sz="6" w:space="0" w:color="000000"/>
              <w:right w:val="outset" w:sz="6" w:space="0" w:color="000000"/>
            </w:tcBorders>
            <w:shd w:val="clear" w:color="auto" w:fill="FFFFFF"/>
            <w:hideMark/>
          </w:tcPr>
          <w:p w14:paraId="2A22ABE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Диван дет.</w:t>
            </w:r>
          </w:p>
        </w:tc>
        <w:tc>
          <w:tcPr>
            <w:tcW w:w="799" w:type="dxa"/>
            <w:tcBorders>
              <w:top w:val="outset" w:sz="6" w:space="0" w:color="000000"/>
              <w:left w:val="outset" w:sz="6" w:space="0" w:color="000000"/>
              <w:bottom w:val="outset" w:sz="6" w:space="0" w:color="000000"/>
              <w:right w:val="outset" w:sz="6" w:space="0" w:color="000000"/>
            </w:tcBorders>
            <w:shd w:val="clear" w:color="auto" w:fill="FFFFFF"/>
            <w:hideMark/>
          </w:tcPr>
          <w:p w14:paraId="0F2A061B"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Шт</w:t>
            </w:r>
            <w:proofErr w:type="spellEnd"/>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5A38E1F8"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5700</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5341CEB8"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9500</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1EA44AB4"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5500</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1FD2976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5600</w:t>
            </w:r>
          </w:p>
        </w:tc>
      </w:tr>
      <w:tr w:rsidR="001E25CD" w:rsidRPr="001E25CD" w14:paraId="48F485E6" w14:textId="77777777" w:rsidTr="001E25CD">
        <w:trPr>
          <w:tblCellSpacing w:w="0" w:type="dxa"/>
        </w:trPr>
        <w:tc>
          <w:tcPr>
            <w:tcW w:w="3909" w:type="dxa"/>
            <w:tcBorders>
              <w:top w:val="outset" w:sz="6" w:space="0" w:color="000000"/>
              <w:left w:val="outset" w:sz="6" w:space="0" w:color="000000"/>
              <w:bottom w:val="outset" w:sz="6" w:space="0" w:color="000000"/>
              <w:right w:val="outset" w:sz="6" w:space="0" w:color="000000"/>
            </w:tcBorders>
            <w:shd w:val="clear" w:color="auto" w:fill="FFFFFF"/>
            <w:hideMark/>
          </w:tcPr>
          <w:p w14:paraId="4E9DC6B7"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Кровать 1,5сп.</w:t>
            </w:r>
          </w:p>
        </w:tc>
        <w:tc>
          <w:tcPr>
            <w:tcW w:w="799" w:type="dxa"/>
            <w:tcBorders>
              <w:top w:val="outset" w:sz="6" w:space="0" w:color="000000"/>
              <w:left w:val="outset" w:sz="6" w:space="0" w:color="000000"/>
              <w:bottom w:val="outset" w:sz="6" w:space="0" w:color="000000"/>
              <w:right w:val="outset" w:sz="6" w:space="0" w:color="000000"/>
            </w:tcBorders>
            <w:shd w:val="clear" w:color="auto" w:fill="FFFFFF"/>
            <w:hideMark/>
          </w:tcPr>
          <w:p w14:paraId="15DD2D2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Шт</w:t>
            </w:r>
            <w:proofErr w:type="spellEnd"/>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61190BE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3125</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18E975C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4000</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4F573DB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4635</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60E84038"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4850</w:t>
            </w:r>
          </w:p>
        </w:tc>
      </w:tr>
      <w:tr w:rsidR="001E25CD" w:rsidRPr="001E25CD" w14:paraId="1AC07B37" w14:textId="77777777" w:rsidTr="001E25CD">
        <w:trPr>
          <w:trHeight w:val="15"/>
          <w:tblCellSpacing w:w="0" w:type="dxa"/>
        </w:trPr>
        <w:tc>
          <w:tcPr>
            <w:tcW w:w="3909" w:type="dxa"/>
            <w:tcBorders>
              <w:top w:val="outset" w:sz="6" w:space="0" w:color="000000"/>
              <w:left w:val="outset" w:sz="6" w:space="0" w:color="000000"/>
              <w:bottom w:val="outset" w:sz="6" w:space="0" w:color="000000"/>
              <w:right w:val="outset" w:sz="6" w:space="0" w:color="000000"/>
            </w:tcBorders>
            <w:shd w:val="clear" w:color="auto" w:fill="FFFFFF"/>
            <w:hideMark/>
          </w:tcPr>
          <w:p w14:paraId="67C1B56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Кровать 2сп.</w:t>
            </w:r>
          </w:p>
        </w:tc>
        <w:tc>
          <w:tcPr>
            <w:tcW w:w="799" w:type="dxa"/>
            <w:tcBorders>
              <w:top w:val="outset" w:sz="6" w:space="0" w:color="000000"/>
              <w:left w:val="outset" w:sz="6" w:space="0" w:color="000000"/>
              <w:bottom w:val="outset" w:sz="6" w:space="0" w:color="000000"/>
              <w:right w:val="outset" w:sz="6" w:space="0" w:color="000000"/>
            </w:tcBorders>
            <w:shd w:val="clear" w:color="auto" w:fill="FFFFFF"/>
            <w:hideMark/>
          </w:tcPr>
          <w:p w14:paraId="0D59ED85"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Шт</w:t>
            </w:r>
            <w:proofErr w:type="spellEnd"/>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4DF9AF67"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4000</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7ECAE31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4580</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487635E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5000</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79FDDAD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5200</w:t>
            </w:r>
          </w:p>
        </w:tc>
      </w:tr>
      <w:tr w:rsidR="001E25CD" w:rsidRPr="001E25CD" w14:paraId="6D042177" w14:textId="77777777" w:rsidTr="001E25CD">
        <w:trPr>
          <w:tblCellSpacing w:w="0" w:type="dxa"/>
        </w:trPr>
        <w:tc>
          <w:tcPr>
            <w:tcW w:w="3909" w:type="dxa"/>
            <w:tcBorders>
              <w:top w:val="outset" w:sz="6" w:space="0" w:color="000000"/>
              <w:left w:val="outset" w:sz="6" w:space="0" w:color="000000"/>
              <w:bottom w:val="outset" w:sz="6" w:space="0" w:color="000000"/>
              <w:right w:val="outset" w:sz="6" w:space="0" w:color="000000"/>
            </w:tcBorders>
            <w:shd w:val="clear" w:color="auto" w:fill="FFFFFF"/>
            <w:hideMark/>
          </w:tcPr>
          <w:p w14:paraId="6543A70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Шкаф для прихожей</w:t>
            </w:r>
          </w:p>
        </w:tc>
        <w:tc>
          <w:tcPr>
            <w:tcW w:w="799" w:type="dxa"/>
            <w:tcBorders>
              <w:top w:val="outset" w:sz="6" w:space="0" w:color="000000"/>
              <w:left w:val="outset" w:sz="6" w:space="0" w:color="000000"/>
              <w:bottom w:val="outset" w:sz="6" w:space="0" w:color="000000"/>
              <w:right w:val="outset" w:sz="6" w:space="0" w:color="000000"/>
            </w:tcBorders>
            <w:shd w:val="clear" w:color="auto" w:fill="FFFFFF"/>
            <w:hideMark/>
          </w:tcPr>
          <w:p w14:paraId="6F6C6ECB"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Шт</w:t>
            </w:r>
            <w:proofErr w:type="spellEnd"/>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2DE3501E"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4000</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048557C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4400</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0A86499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4156</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5CC0D6F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4225</w:t>
            </w:r>
          </w:p>
        </w:tc>
      </w:tr>
      <w:tr w:rsidR="001E25CD" w:rsidRPr="001E25CD" w14:paraId="521056E0" w14:textId="77777777" w:rsidTr="001E25CD">
        <w:trPr>
          <w:tblCellSpacing w:w="0" w:type="dxa"/>
        </w:trPr>
        <w:tc>
          <w:tcPr>
            <w:tcW w:w="3909" w:type="dxa"/>
            <w:tcBorders>
              <w:top w:val="outset" w:sz="6" w:space="0" w:color="000000"/>
              <w:left w:val="outset" w:sz="6" w:space="0" w:color="000000"/>
              <w:bottom w:val="outset" w:sz="6" w:space="0" w:color="000000"/>
              <w:right w:val="outset" w:sz="6" w:space="0" w:color="000000"/>
            </w:tcBorders>
            <w:shd w:val="clear" w:color="auto" w:fill="FFFFFF"/>
            <w:hideMark/>
          </w:tcPr>
          <w:p w14:paraId="5284BA9B"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Тумба под TV</w:t>
            </w:r>
          </w:p>
        </w:tc>
        <w:tc>
          <w:tcPr>
            <w:tcW w:w="799" w:type="dxa"/>
            <w:tcBorders>
              <w:top w:val="outset" w:sz="6" w:space="0" w:color="000000"/>
              <w:left w:val="outset" w:sz="6" w:space="0" w:color="000000"/>
              <w:bottom w:val="outset" w:sz="6" w:space="0" w:color="000000"/>
              <w:right w:val="outset" w:sz="6" w:space="0" w:color="000000"/>
            </w:tcBorders>
            <w:shd w:val="clear" w:color="auto" w:fill="FFFFFF"/>
            <w:hideMark/>
          </w:tcPr>
          <w:p w14:paraId="48F7A73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Шт</w:t>
            </w:r>
            <w:proofErr w:type="spellEnd"/>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5FD60FA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2600</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3223D92E"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4137</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244F8D2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2890</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1AE804E4"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2500</w:t>
            </w:r>
          </w:p>
        </w:tc>
      </w:tr>
      <w:tr w:rsidR="001E25CD" w:rsidRPr="001E25CD" w14:paraId="2669341E" w14:textId="77777777" w:rsidTr="001E25CD">
        <w:trPr>
          <w:trHeight w:val="45"/>
          <w:tblCellSpacing w:w="0" w:type="dxa"/>
        </w:trPr>
        <w:tc>
          <w:tcPr>
            <w:tcW w:w="3909" w:type="dxa"/>
            <w:tcBorders>
              <w:top w:val="outset" w:sz="6" w:space="0" w:color="000000"/>
              <w:left w:val="outset" w:sz="6" w:space="0" w:color="000000"/>
              <w:bottom w:val="outset" w:sz="6" w:space="0" w:color="000000"/>
              <w:right w:val="outset" w:sz="6" w:space="0" w:color="000000"/>
            </w:tcBorders>
            <w:shd w:val="clear" w:color="auto" w:fill="FFFFFF"/>
            <w:hideMark/>
          </w:tcPr>
          <w:p w14:paraId="57E1A41E"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Шкаф книжный</w:t>
            </w:r>
          </w:p>
        </w:tc>
        <w:tc>
          <w:tcPr>
            <w:tcW w:w="799" w:type="dxa"/>
            <w:tcBorders>
              <w:top w:val="outset" w:sz="6" w:space="0" w:color="000000"/>
              <w:left w:val="outset" w:sz="6" w:space="0" w:color="000000"/>
              <w:bottom w:val="outset" w:sz="6" w:space="0" w:color="000000"/>
              <w:right w:val="outset" w:sz="6" w:space="0" w:color="000000"/>
            </w:tcBorders>
            <w:shd w:val="clear" w:color="auto" w:fill="FFFFFF"/>
            <w:hideMark/>
          </w:tcPr>
          <w:p w14:paraId="0661FD7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proofErr w:type="spellStart"/>
            <w:r w:rsidRPr="001E25CD">
              <w:rPr>
                <w:rFonts w:ascii="Georgia" w:eastAsia="Times New Roman" w:hAnsi="Georgia" w:cs="Times New Roman"/>
                <w:sz w:val="18"/>
                <w:szCs w:val="18"/>
                <w:lang w:bidi="ar-SA"/>
              </w:rPr>
              <w:t>Шт</w:t>
            </w:r>
            <w:proofErr w:type="spellEnd"/>
          </w:p>
        </w:tc>
        <w:tc>
          <w:tcPr>
            <w:tcW w:w="1914" w:type="dxa"/>
            <w:tcBorders>
              <w:top w:val="outset" w:sz="6" w:space="0" w:color="000000"/>
              <w:left w:val="outset" w:sz="6" w:space="0" w:color="000000"/>
              <w:bottom w:val="outset" w:sz="6" w:space="0" w:color="000000"/>
              <w:right w:val="outset" w:sz="6" w:space="0" w:color="000000"/>
            </w:tcBorders>
            <w:shd w:val="clear" w:color="auto" w:fill="FFFFFF"/>
            <w:hideMark/>
          </w:tcPr>
          <w:p w14:paraId="7844E37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4205</w:t>
            </w:r>
          </w:p>
        </w:tc>
        <w:tc>
          <w:tcPr>
            <w:tcW w:w="1693" w:type="dxa"/>
            <w:tcBorders>
              <w:top w:val="outset" w:sz="6" w:space="0" w:color="000000"/>
              <w:left w:val="outset" w:sz="6" w:space="0" w:color="000000"/>
              <w:bottom w:val="outset" w:sz="6" w:space="0" w:color="000000"/>
              <w:right w:val="outset" w:sz="6" w:space="0" w:color="000000"/>
            </w:tcBorders>
            <w:shd w:val="clear" w:color="auto" w:fill="FFFFFF"/>
            <w:hideMark/>
          </w:tcPr>
          <w:p w14:paraId="05D833E4"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4500</w:t>
            </w:r>
          </w:p>
        </w:tc>
        <w:tc>
          <w:tcPr>
            <w:tcW w:w="1532" w:type="dxa"/>
            <w:tcBorders>
              <w:top w:val="outset" w:sz="6" w:space="0" w:color="000000"/>
              <w:left w:val="outset" w:sz="6" w:space="0" w:color="000000"/>
              <w:bottom w:val="outset" w:sz="6" w:space="0" w:color="000000"/>
              <w:right w:val="outset" w:sz="6" w:space="0" w:color="000000"/>
            </w:tcBorders>
            <w:shd w:val="clear" w:color="auto" w:fill="FFFFFF"/>
            <w:hideMark/>
          </w:tcPr>
          <w:p w14:paraId="524B608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4200</w:t>
            </w:r>
          </w:p>
        </w:tc>
        <w:tc>
          <w:tcPr>
            <w:tcW w:w="485" w:type="dxa"/>
            <w:tcBorders>
              <w:top w:val="outset" w:sz="6" w:space="0" w:color="000000"/>
              <w:left w:val="outset" w:sz="6" w:space="0" w:color="000000"/>
              <w:bottom w:val="outset" w:sz="6" w:space="0" w:color="000000"/>
              <w:right w:val="outset" w:sz="6" w:space="0" w:color="000000"/>
            </w:tcBorders>
            <w:shd w:val="clear" w:color="auto" w:fill="FFFFFF"/>
            <w:hideMark/>
          </w:tcPr>
          <w:p w14:paraId="30C23B4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4090</w:t>
            </w:r>
          </w:p>
        </w:tc>
      </w:tr>
    </w:tbl>
    <w:p w14:paraId="2D01192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Таким образом, ООО «Сентябрь» занимает среднюю позицию среди конкурирующих фирм.</w:t>
      </w:r>
    </w:p>
    <w:p w14:paraId="1E2E8DC4"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При анализе деятельности конкурентов должны быть учтены все факторы, влияющие на спрос населения, а не только цена.</w:t>
      </w:r>
    </w:p>
    <w:p w14:paraId="7B014C33"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Дадим следующую количественную оценку каждому фактору конкурентоспособности для всех конкурентов:</w:t>
      </w:r>
    </w:p>
    <w:p w14:paraId="7BD542F9" w14:textId="77777777" w:rsidR="001E25CD" w:rsidRPr="001E25CD" w:rsidRDefault="001E25CD" w:rsidP="001E25CD">
      <w:pPr>
        <w:widowControl/>
        <w:numPr>
          <w:ilvl w:val="0"/>
          <w:numId w:val="25"/>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положительная – 1 балл,</w:t>
      </w:r>
    </w:p>
    <w:p w14:paraId="3F7753CD" w14:textId="77777777" w:rsidR="001E25CD" w:rsidRPr="001E25CD" w:rsidRDefault="001E25CD" w:rsidP="001E25CD">
      <w:pPr>
        <w:widowControl/>
        <w:numPr>
          <w:ilvl w:val="0"/>
          <w:numId w:val="25"/>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средняя – 0,5 балла,</w:t>
      </w:r>
    </w:p>
    <w:p w14:paraId="5FD6B75D" w14:textId="77777777" w:rsidR="001E25CD" w:rsidRPr="001E25CD" w:rsidRDefault="001E25CD" w:rsidP="001E25CD">
      <w:pPr>
        <w:widowControl/>
        <w:numPr>
          <w:ilvl w:val="0"/>
          <w:numId w:val="25"/>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отрицательная - 0 баллов.</w:t>
      </w:r>
    </w:p>
    <w:p w14:paraId="4B454719" w14:textId="77777777" w:rsidR="001E25CD" w:rsidRPr="001E25CD" w:rsidRDefault="001E25CD" w:rsidP="001E25CD">
      <w:pPr>
        <w:widowControl/>
        <w:shd w:val="clear" w:color="auto" w:fill="FFFFFF"/>
        <w:autoSpaceDE/>
        <w:autoSpaceDN/>
        <w:spacing w:before="100" w:beforeAutospacing="1" w:line="360" w:lineRule="atLeast"/>
        <w:ind w:firstLine="709"/>
        <w:jc w:val="righ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Основные факторы конкурентоспособности представлены в таблице 2. Таблица 2</w:t>
      </w:r>
    </w:p>
    <w:p w14:paraId="3BC55B88" w14:textId="77777777"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Сравнительные факторы конкурентоспособности</w:t>
      </w:r>
    </w:p>
    <w:tbl>
      <w:tblPr>
        <w:tblW w:w="10474" w:type="dxa"/>
        <w:tblCellSpacing w:w="0" w:type="dxa"/>
        <w:tblInd w:w="15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123"/>
        <w:gridCol w:w="1981"/>
        <w:gridCol w:w="1550"/>
        <w:gridCol w:w="2062"/>
        <w:gridCol w:w="2758"/>
      </w:tblGrid>
      <w:tr w:rsidR="001E25CD" w:rsidRPr="001E25CD" w14:paraId="31397880" w14:textId="77777777" w:rsidTr="00652596">
        <w:trPr>
          <w:tblCellSpacing w:w="0" w:type="dxa"/>
        </w:trPr>
        <w:tc>
          <w:tcPr>
            <w:tcW w:w="2123"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1D5534E5"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Фактор</w:t>
            </w:r>
          </w:p>
        </w:tc>
        <w:tc>
          <w:tcPr>
            <w:tcW w:w="8351"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DAE96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Объект оценки</w:t>
            </w:r>
          </w:p>
        </w:tc>
      </w:tr>
      <w:tr w:rsidR="001E25CD" w:rsidRPr="001E25CD" w14:paraId="28CEC9AA" w14:textId="77777777" w:rsidTr="00652596">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14:paraId="04D09D0C" w14:textId="77777777" w:rsidR="001E25CD" w:rsidRPr="001E25CD" w:rsidRDefault="001E25CD" w:rsidP="001E25CD">
            <w:pPr>
              <w:widowControl/>
              <w:autoSpaceDE/>
              <w:autoSpaceDN/>
              <w:rPr>
                <w:rFonts w:ascii="Georgia" w:eastAsia="Times New Roman" w:hAnsi="Georgia" w:cs="Times New Roman"/>
                <w:sz w:val="18"/>
                <w:szCs w:val="18"/>
                <w:lang w:bidi="ar-SA"/>
              </w:rPr>
            </w:pPr>
          </w:p>
        </w:tc>
        <w:tc>
          <w:tcPr>
            <w:tcW w:w="1981" w:type="dxa"/>
            <w:tcBorders>
              <w:top w:val="outset" w:sz="6" w:space="0" w:color="000000"/>
              <w:left w:val="outset" w:sz="6" w:space="0" w:color="000000"/>
              <w:bottom w:val="outset" w:sz="6" w:space="0" w:color="000000"/>
              <w:right w:val="outset" w:sz="6" w:space="0" w:color="000000"/>
            </w:tcBorders>
            <w:shd w:val="clear" w:color="auto" w:fill="FFFFFF"/>
            <w:hideMark/>
          </w:tcPr>
          <w:p w14:paraId="522580F8"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«Сентябрь»</w:t>
            </w:r>
          </w:p>
        </w:tc>
        <w:tc>
          <w:tcPr>
            <w:tcW w:w="1550" w:type="dxa"/>
            <w:tcBorders>
              <w:top w:val="outset" w:sz="6" w:space="0" w:color="000000"/>
              <w:left w:val="outset" w:sz="6" w:space="0" w:color="000000"/>
              <w:bottom w:val="outset" w:sz="6" w:space="0" w:color="000000"/>
              <w:right w:val="outset" w:sz="6" w:space="0" w:color="000000"/>
            </w:tcBorders>
            <w:shd w:val="clear" w:color="auto" w:fill="FFFFFF"/>
            <w:hideMark/>
          </w:tcPr>
          <w:p w14:paraId="03D178F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«Орион»</w:t>
            </w:r>
          </w:p>
        </w:tc>
        <w:tc>
          <w:tcPr>
            <w:tcW w:w="2062" w:type="dxa"/>
            <w:tcBorders>
              <w:top w:val="outset" w:sz="6" w:space="0" w:color="000000"/>
              <w:left w:val="outset" w:sz="6" w:space="0" w:color="000000"/>
              <w:bottom w:val="outset" w:sz="6" w:space="0" w:color="000000"/>
              <w:right w:val="outset" w:sz="6" w:space="0" w:color="000000"/>
            </w:tcBorders>
            <w:shd w:val="clear" w:color="auto" w:fill="FFFFFF"/>
            <w:hideMark/>
          </w:tcPr>
          <w:p w14:paraId="161B8C6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«Стиль»</w:t>
            </w:r>
          </w:p>
        </w:tc>
        <w:tc>
          <w:tcPr>
            <w:tcW w:w="2758" w:type="dxa"/>
            <w:tcBorders>
              <w:top w:val="outset" w:sz="6" w:space="0" w:color="000000"/>
              <w:left w:val="outset" w:sz="6" w:space="0" w:color="000000"/>
              <w:bottom w:val="outset" w:sz="6" w:space="0" w:color="000000"/>
              <w:right w:val="outset" w:sz="6" w:space="0" w:color="000000"/>
            </w:tcBorders>
            <w:shd w:val="clear" w:color="auto" w:fill="FFFFFF"/>
            <w:hideMark/>
          </w:tcPr>
          <w:p w14:paraId="39E5327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«Континент»</w:t>
            </w:r>
          </w:p>
        </w:tc>
      </w:tr>
      <w:tr w:rsidR="001E25CD" w:rsidRPr="001E25CD" w14:paraId="53EC0AF7" w14:textId="77777777" w:rsidTr="00652596">
        <w:trPr>
          <w:tblCellSpacing w:w="0" w:type="dxa"/>
        </w:trPr>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1B59F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981" w:type="dxa"/>
            <w:tcBorders>
              <w:top w:val="outset" w:sz="6" w:space="0" w:color="000000"/>
              <w:left w:val="outset" w:sz="6" w:space="0" w:color="000000"/>
              <w:bottom w:val="outset" w:sz="6" w:space="0" w:color="000000"/>
              <w:right w:val="outset" w:sz="6" w:space="0" w:color="000000"/>
            </w:tcBorders>
            <w:shd w:val="clear" w:color="auto" w:fill="FFFFFF"/>
            <w:hideMark/>
          </w:tcPr>
          <w:p w14:paraId="545674E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2</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D0840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3</w:t>
            </w:r>
          </w:p>
        </w:tc>
        <w:tc>
          <w:tcPr>
            <w:tcW w:w="20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66223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3C574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w:t>
            </w:r>
          </w:p>
        </w:tc>
      </w:tr>
      <w:tr w:rsidR="001E25CD" w:rsidRPr="001E25CD" w14:paraId="0F267064" w14:textId="77777777" w:rsidTr="00652596">
        <w:trPr>
          <w:trHeight w:val="75"/>
          <w:tblCellSpacing w:w="0" w:type="dxa"/>
        </w:trPr>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6D81F8"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Качество</w:t>
            </w:r>
          </w:p>
        </w:tc>
        <w:tc>
          <w:tcPr>
            <w:tcW w:w="1981" w:type="dxa"/>
            <w:tcBorders>
              <w:top w:val="outset" w:sz="6" w:space="0" w:color="000000"/>
              <w:left w:val="outset" w:sz="6" w:space="0" w:color="000000"/>
              <w:bottom w:val="outset" w:sz="6" w:space="0" w:color="000000"/>
              <w:right w:val="outset" w:sz="6" w:space="0" w:color="000000"/>
            </w:tcBorders>
            <w:shd w:val="clear" w:color="auto" w:fill="FFFFFF"/>
            <w:hideMark/>
          </w:tcPr>
          <w:p w14:paraId="011FD194"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высокое</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B7BD0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Высокое</w:t>
            </w:r>
          </w:p>
        </w:tc>
        <w:tc>
          <w:tcPr>
            <w:tcW w:w="20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DACFF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Высокое</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682A2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высокое</w:t>
            </w:r>
          </w:p>
        </w:tc>
      </w:tr>
      <w:tr w:rsidR="001E25CD" w:rsidRPr="001E25CD" w14:paraId="5B04DBA9" w14:textId="77777777" w:rsidTr="00652596">
        <w:trPr>
          <w:trHeight w:val="330"/>
          <w:tblCellSpacing w:w="0" w:type="dxa"/>
        </w:trPr>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B26BB7"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Уровень посещаемости</w:t>
            </w:r>
          </w:p>
        </w:tc>
        <w:tc>
          <w:tcPr>
            <w:tcW w:w="19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DB3EF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высокий</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0AA03B" w14:textId="77777777" w:rsidR="001E25CD" w:rsidRPr="001E25CD" w:rsidRDefault="001E25CD" w:rsidP="001E25CD">
            <w:pPr>
              <w:widowControl/>
              <w:autoSpaceDE/>
              <w:autoSpaceDN/>
              <w:spacing w:before="100" w:before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района,</w:t>
            </w:r>
          </w:p>
          <w:p w14:paraId="6FB1DAD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высокий</w:t>
            </w:r>
          </w:p>
        </w:tc>
        <w:tc>
          <w:tcPr>
            <w:tcW w:w="20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262B8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Низкий</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617CF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средний</w:t>
            </w:r>
          </w:p>
        </w:tc>
      </w:tr>
      <w:tr w:rsidR="001E25CD" w:rsidRPr="001E25CD" w14:paraId="02575F3E" w14:textId="77777777" w:rsidTr="00652596">
        <w:trPr>
          <w:trHeight w:val="105"/>
          <w:tblCellSpacing w:w="0" w:type="dxa"/>
        </w:trPr>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6BD60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Уровень цены</w:t>
            </w:r>
          </w:p>
        </w:tc>
        <w:tc>
          <w:tcPr>
            <w:tcW w:w="19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FDEEF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выше средней</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C5EE6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выше средней</w:t>
            </w:r>
          </w:p>
        </w:tc>
        <w:tc>
          <w:tcPr>
            <w:tcW w:w="20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568E86" w14:textId="77777777" w:rsidR="001E25CD" w:rsidRPr="001E25CD" w:rsidRDefault="001E25CD" w:rsidP="001E25CD">
            <w:pPr>
              <w:widowControl/>
              <w:autoSpaceDE/>
              <w:autoSpaceDN/>
              <w:spacing w:before="100" w:before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выше</w:t>
            </w:r>
          </w:p>
          <w:p w14:paraId="22A6869E"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средней</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87305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средняя цена</w:t>
            </w:r>
          </w:p>
        </w:tc>
      </w:tr>
      <w:tr w:rsidR="001E25CD" w:rsidRPr="001E25CD" w14:paraId="72C7EE6A" w14:textId="77777777" w:rsidTr="00652596">
        <w:trPr>
          <w:trHeight w:val="270"/>
          <w:tblCellSpacing w:w="0" w:type="dxa"/>
        </w:trPr>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ED7FD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Ассортимент</w:t>
            </w:r>
          </w:p>
        </w:tc>
        <w:tc>
          <w:tcPr>
            <w:tcW w:w="19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4F909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очень широкий</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6BB88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широкий</w:t>
            </w:r>
          </w:p>
        </w:tc>
        <w:tc>
          <w:tcPr>
            <w:tcW w:w="20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9285E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ограниченный</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28DD8B"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широкий</w:t>
            </w:r>
          </w:p>
        </w:tc>
      </w:tr>
      <w:tr w:rsidR="001E25CD" w:rsidRPr="001E25CD" w14:paraId="3545E4D6" w14:textId="77777777" w:rsidTr="00652596">
        <w:trPr>
          <w:trHeight w:val="855"/>
          <w:tblCellSpacing w:w="0" w:type="dxa"/>
        </w:trPr>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125F4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Режим работы</w:t>
            </w:r>
          </w:p>
        </w:tc>
        <w:tc>
          <w:tcPr>
            <w:tcW w:w="19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DF047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9.00-18.00, без перерыва</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BBD81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8.00-18.00, без перерыва</w:t>
            </w:r>
          </w:p>
        </w:tc>
        <w:tc>
          <w:tcPr>
            <w:tcW w:w="20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5E02C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9.00-18.00, перерыв 14.00-15.00</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9CB7D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9.00-18.00, перерыв 14.00-15.00</w:t>
            </w:r>
          </w:p>
        </w:tc>
      </w:tr>
      <w:tr w:rsidR="001E25CD" w:rsidRPr="001E25CD" w14:paraId="69F0E10E" w14:textId="77777777" w:rsidTr="00652596">
        <w:trPr>
          <w:trHeight w:val="855"/>
          <w:tblCellSpacing w:w="0" w:type="dxa"/>
        </w:trPr>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68B9E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Репутация фирмы и изделий</w:t>
            </w:r>
          </w:p>
        </w:tc>
        <w:tc>
          <w:tcPr>
            <w:tcW w:w="198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B012A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надежная репутация</w:t>
            </w:r>
          </w:p>
        </w:tc>
        <w:tc>
          <w:tcPr>
            <w:tcW w:w="15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C78A2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надежная репутация</w:t>
            </w:r>
          </w:p>
        </w:tc>
        <w:tc>
          <w:tcPr>
            <w:tcW w:w="206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0C921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надежная репутация</w:t>
            </w:r>
          </w:p>
        </w:tc>
        <w:tc>
          <w:tcPr>
            <w:tcW w:w="275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4DBA4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надежная репутация</w:t>
            </w:r>
          </w:p>
        </w:tc>
      </w:tr>
    </w:tbl>
    <w:p w14:paraId="58F6C20E"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 таблице 3 представлена балльная оценка факторов конкурентоспособности.</w:t>
      </w:r>
    </w:p>
    <w:p w14:paraId="0D7F897A" w14:textId="77777777" w:rsidR="001E25CD" w:rsidRPr="001E25CD" w:rsidRDefault="001E25CD" w:rsidP="001E25CD">
      <w:pPr>
        <w:widowControl/>
        <w:shd w:val="clear" w:color="auto" w:fill="FFFFFF"/>
        <w:autoSpaceDE/>
        <w:autoSpaceDN/>
        <w:spacing w:before="100" w:beforeAutospacing="1" w:line="360" w:lineRule="atLeast"/>
        <w:ind w:firstLine="709"/>
        <w:jc w:val="righ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Таблица 3</w:t>
      </w:r>
    </w:p>
    <w:p w14:paraId="70C9C07E" w14:textId="77777777"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Оценка факторов конкурентоспособности по баллам</w:t>
      </w:r>
    </w:p>
    <w:tbl>
      <w:tblPr>
        <w:tblW w:w="9340" w:type="dxa"/>
        <w:tblCellSpacing w:w="0" w:type="dxa"/>
        <w:tblInd w:w="15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148"/>
        <w:gridCol w:w="2271"/>
        <w:gridCol w:w="1409"/>
        <w:gridCol w:w="1342"/>
        <w:gridCol w:w="2170"/>
      </w:tblGrid>
      <w:tr w:rsidR="001E25CD" w:rsidRPr="001E25CD" w14:paraId="13B5DE85" w14:textId="77777777" w:rsidTr="00652596">
        <w:trPr>
          <w:tblCellSpacing w:w="0" w:type="dxa"/>
        </w:trPr>
        <w:tc>
          <w:tcPr>
            <w:tcW w:w="214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14:paraId="06EAA44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Фактор</w:t>
            </w:r>
          </w:p>
        </w:tc>
        <w:tc>
          <w:tcPr>
            <w:tcW w:w="7192"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ADE1A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Объект оценки</w:t>
            </w:r>
          </w:p>
        </w:tc>
      </w:tr>
      <w:tr w:rsidR="001E25CD" w:rsidRPr="001E25CD" w14:paraId="705B460A" w14:textId="77777777" w:rsidTr="00652596">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hideMark/>
          </w:tcPr>
          <w:p w14:paraId="43263FB3" w14:textId="77777777" w:rsidR="001E25CD" w:rsidRPr="001E25CD" w:rsidRDefault="001E25CD" w:rsidP="001E25CD">
            <w:pPr>
              <w:widowControl/>
              <w:autoSpaceDE/>
              <w:autoSpaceDN/>
              <w:rPr>
                <w:rFonts w:ascii="Georgia" w:eastAsia="Times New Roman" w:hAnsi="Georgia" w:cs="Times New Roman"/>
                <w:sz w:val="18"/>
                <w:szCs w:val="18"/>
                <w:lang w:bidi="ar-SA"/>
              </w:rPr>
            </w:pPr>
          </w:p>
        </w:tc>
        <w:tc>
          <w:tcPr>
            <w:tcW w:w="2271" w:type="dxa"/>
            <w:tcBorders>
              <w:top w:val="outset" w:sz="6" w:space="0" w:color="000000"/>
              <w:left w:val="outset" w:sz="6" w:space="0" w:color="000000"/>
              <w:bottom w:val="outset" w:sz="6" w:space="0" w:color="000000"/>
              <w:right w:val="outset" w:sz="6" w:space="0" w:color="000000"/>
            </w:tcBorders>
            <w:shd w:val="clear" w:color="auto" w:fill="FFFFFF"/>
            <w:hideMark/>
          </w:tcPr>
          <w:p w14:paraId="2D66966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«Сентябрь»</w:t>
            </w:r>
          </w:p>
        </w:tc>
        <w:tc>
          <w:tcPr>
            <w:tcW w:w="1409" w:type="dxa"/>
            <w:tcBorders>
              <w:top w:val="outset" w:sz="6" w:space="0" w:color="000000"/>
              <w:left w:val="outset" w:sz="6" w:space="0" w:color="000000"/>
              <w:bottom w:val="outset" w:sz="6" w:space="0" w:color="000000"/>
              <w:right w:val="outset" w:sz="6" w:space="0" w:color="000000"/>
            </w:tcBorders>
            <w:shd w:val="clear" w:color="auto" w:fill="FFFFFF"/>
            <w:hideMark/>
          </w:tcPr>
          <w:p w14:paraId="53A41E1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«Орион»</w:t>
            </w:r>
          </w:p>
        </w:tc>
        <w:tc>
          <w:tcPr>
            <w:tcW w:w="1342" w:type="dxa"/>
            <w:tcBorders>
              <w:top w:val="outset" w:sz="6" w:space="0" w:color="000000"/>
              <w:left w:val="outset" w:sz="6" w:space="0" w:color="000000"/>
              <w:bottom w:val="outset" w:sz="6" w:space="0" w:color="000000"/>
              <w:right w:val="outset" w:sz="6" w:space="0" w:color="000000"/>
            </w:tcBorders>
            <w:shd w:val="clear" w:color="auto" w:fill="FFFFFF"/>
            <w:hideMark/>
          </w:tcPr>
          <w:p w14:paraId="5A2264A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«Стиль»</w:t>
            </w:r>
          </w:p>
        </w:tc>
        <w:tc>
          <w:tcPr>
            <w:tcW w:w="2170" w:type="dxa"/>
            <w:tcBorders>
              <w:top w:val="outset" w:sz="6" w:space="0" w:color="000000"/>
              <w:left w:val="outset" w:sz="6" w:space="0" w:color="000000"/>
              <w:bottom w:val="outset" w:sz="6" w:space="0" w:color="000000"/>
              <w:right w:val="outset" w:sz="6" w:space="0" w:color="000000"/>
            </w:tcBorders>
            <w:shd w:val="clear" w:color="auto" w:fill="FFFFFF"/>
            <w:hideMark/>
          </w:tcPr>
          <w:p w14:paraId="747CBC93" w14:textId="77777777" w:rsidR="001E25CD" w:rsidRPr="001E25CD" w:rsidRDefault="001E25CD" w:rsidP="001E25CD">
            <w:pPr>
              <w:widowControl/>
              <w:autoSpaceDE/>
              <w:autoSpaceDN/>
              <w:spacing w:before="100" w:before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ООО «Континент»</w:t>
            </w:r>
          </w:p>
        </w:tc>
      </w:tr>
      <w:tr w:rsidR="001E25CD" w:rsidRPr="001E25CD" w14:paraId="6140F3CF" w14:textId="77777777" w:rsidTr="00652596">
        <w:trPr>
          <w:trHeight w:val="135"/>
          <w:tblCellSpacing w:w="0" w:type="dxa"/>
        </w:trPr>
        <w:tc>
          <w:tcPr>
            <w:tcW w:w="214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9AEA8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Качество</w:t>
            </w:r>
          </w:p>
        </w:tc>
        <w:tc>
          <w:tcPr>
            <w:tcW w:w="2271" w:type="dxa"/>
            <w:tcBorders>
              <w:top w:val="outset" w:sz="6" w:space="0" w:color="000000"/>
              <w:left w:val="outset" w:sz="6" w:space="0" w:color="000000"/>
              <w:bottom w:val="outset" w:sz="6" w:space="0" w:color="000000"/>
              <w:right w:val="outset" w:sz="6" w:space="0" w:color="000000"/>
            </w:tcBorders>
            <w:shd w:val="clear" w:color="auto" w:fill="FFFFFF"/>
            <w:hideMark/>
          </w:tcPr>
          <w:p w14:paraId="6A24822D"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4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A2F4A8"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34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90919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21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2F4A44"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r>
      <w:tr w:rsidR="001E25CD" w:rsidRPr="001E25CD" w14:paraId="366EE0CE" w14:textId="77777777" w:rsidTr="00652596">
        <w:trPr>
          <w:trHeight w:val="300"/>
          <w:tblCellSpacing w:w="0" w:type="dxa"/>
        </w:trPr>
        <w:tc>
          <w:tcPr>
            <w:tcW w:w="214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D635A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Уровень посещаемости</w:t>
            </w:r>
          </w:p>
        </w:tc>
        <w:tc>
          <w:tcPr>
            <w:tcW w:w="227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D40468"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4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B9D5F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34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52F3F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w:t>
            </w:r>
          </w:p>
        </w:tc>
        <w:tc>
          <w:tcPr>
            <w:tcW w:w="21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665F9E"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0,5</w:t>
            </w:r>
          </w:p>
        </w:tc>
      </w:tr>
      <w:tr w:rsidR="001E25CD" w:rsidRPr="001E25CD" w14:paraId="42DA82CA" w14:textId="77777777" w:rsidTr="00652596">
        <w:trPr>
          <w:trHeight w:val="285"/>
          <w:tblCellSpacing w:w="0" w:type="dxa"/>
        </w:trPr>
        <w:tc>
          <w:tcPr>
            <w:tcW w:w="214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B2FF5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Уровень цены</w:t>
            </w:r>
          </w:p>
        </w:tc>
        <w:tc>
          <w:tcPr>
            <w:tcW w:w="227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FAE23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0,5</w:t>
            </w:r>
          </w:p>
        </w:tc>
        <w:tc>
          <w:tcPr>
            <w:tcW w:w="14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C5D6A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0,5</w:t>
            </w:r>
          </w:p>
        </w:tc>
        <w:tc>
          <w:tcPr>
            <w:tcW w:w="134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C8FA7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0,5</w:t>
            </w:r>
          </w:p>
        </w:tc>
        <w:tc>
          <w:tcPr>
            <w:tcW w:w="21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3CB437"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r>
      <w:tr w:rsidR="001E25CD" w:rsidRPr="001E25CD" w14:paraId="1A678E1F" w14:textId="77777777" w:rsidTr="00652596">
        <w:trPr>
          <w:trHeight w:val="135"/>
          <w:tblCellSpacing w:w="0" w:type="dxa"/>
        </w:trPr>
        <w:tc>
          <w:tcPr>
            <w:tcW w:w="214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D84CE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Ассортимент</w:t>
            </w:r>
          </w:p>
        </w:tc>
        <w:tc>
          <w:tcPr>
            <w:tcW w:w="227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0C4697"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4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FCD98E"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34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332076"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w:t>
            </w:r>
          </w:p>
        </w:tc>
        <w:tc>
          <w:tcPr>
            <w:tcW w:w="21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711CB7"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r>
      <w:tr w:rsidR="001E25CD" w:rsidRPr="001E25CD" w14:paraId="7948D15E" w14:textId="77777777" w:rsidTr="00652596">
        <w:trPr>
          <w:trHeight w:val="120"/>
          <w:tblCellSpacing w:w="0" w:type="dxa"/>
        </w:trPr>
        <w:tc>
          <w:tcPr>
            <w:tcW w:w="214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C3F5A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Режим работы</w:t>
            </w:r>
          </w:p>
        </w:tc>
        <w:tc>
          <w:tcPr>
            <w:tcW w:w="227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B30E7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4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3D9635"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34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B85FF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0,5</w:t>
            </w:r>
          </w:p>
        </w:tc>
        <w:tc>
          <w:tcPr>
            <w:tcW w:w="21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45A7F2"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0,5</w:t>
            </w:r>
          </w:p>
        </w:tc>
      </w:tr>
      <w:tr w:rsidR="001E25CD" w:rsidRPr="001E25CD" w14:paraId="138FEC6E" w14:textId="77777777" w:rsidTr="00652596">
        <w:trPr>
          <w:trHeight w:val="495"/>
          <w:tblCellSpacing w:w="0" w:type="dxa"/>
        </w:trPr>
        <w:tc>
          <w:tcPr>
            <w:tcW w:w="214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94F6E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Репутация фирмы и изделий</w:t>
            </w:r>
          </w:p>
        </w:tc>
        <w:tc>
          <w:tcPr>
            <w:tcW w:w="227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D13AE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4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CDD6A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134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AFE475"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21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DC5405"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r>
      <w:tr w:rsidR="001E25CD" w:rsidRPr="001E25CD" w14:paraId="034BB211" w14:textId="77777777" w:rsidTr="00652596">
        <w:trPr>
          <w:tblCellSpacing w:w="0" w:type="dxa"/>
        </w:trPr>
        <w:tc>
          <w:tcPr>
            <w:tcW w:w="214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6DFCA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Итого</w:t>
            </w:r>
          </w:p>
        </w:tc>
        <w:tc>
          <w:tcPr>
            <w:tcW w:w="227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831B9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5,5</w:t>
            </w:r>
          </w:p>
        </w:tc>
        <w:tc>
          <w:tcPr>
            <w:tcW w:w="14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C73AAA"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5,5</w:t>
            </w:r>
          </w:p>
        </w:tc>
        <w:tc>
          <w:tcPr>
            <w:tcW w:w="134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22637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3</w:t>
            </w:r>
          </w:p>
        </w:tc>
        <w:tc>
          <w:tcPr>
            <w:tcW w:w="21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4FF3E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w:t>
            </w:r>
          </w:p>
        </w:tc>
      </w:tr>
    </w:tbl>
    <w:p w14:paraId="09FAF9EA"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Исходя из полученных данных, в настоящее время фирма ООО «Сентябрь» имеет надёжную репутацию, высокий уровень конкурентоспособности, стабильное положение на рынке. Но все это временно. Поэтому руководству ООО «Сентябрь» следует заранее озаботиться сохранением своего лидирующего положения на этом рынке.</w:t>
      </w:r>
    </w:p>
    <w:p w14:paraId="7C52414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Основными чертами рынка мебельной продукции могут быть названы:</w:t>
      </w:r>
    </w:p>
    <w:p w14:paraId="7A9F2542" w14:textId="77777777" w:rsidR="001E25CD" w:rsidRPr="001E25CD" w:rsidRDefault="001E25CD" w:rsidP="001E25CD">
      <w:pPr>
        <w:widowControl/>
        <w:numPr>
          <w:ilvl w:val="0"/>
          <w:numId w:val="26"/>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длительный период вывода на рынок новых моделей. Например, у крупных производителей мебели средний срок вывода на рынок новой программы серийной мебели составляет от 7 до 15 месяцев;</w:t>
      </w:r>
    </w:p>
    <w:p w14:paraId="46655C39" w14:textId="77777777" w:rsidR="001E25CD" w:rsidRPr="001E25CD" w:rsidRDefault="001E25CD" w:rsidP="001E25CD">
      <w:pPr>
        <w:widowControl/>
        <w:numPr>
          <w:ilvl w:val="0"/>
          <w:numId w:val="26"/>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высокие требования к качеству. Потребитель выбирает на основании того, как долго с надлежащим уровнем качества данный товар может удовлетворять его потребности. Исходя из этого, большинством производителей мебели решаются вопросы о выявлении приемлемого уровня качества и применения высококачественной фурнитуры и комплектующих рассчитанных на определенное количество лет использования. Например, многие производители мебели разрабатывают стратегию продвижения, используя в качестве основной идеи объяснение уровня качества и долговечности мебели.</w:t>
      </w:r>
    </w:p>
    <w:p w14:paraId="398FCB4D" w14:textId="77777777" w:rsidR="001E25CD" w:rsidRPr="001E25CD" w:rsidRDefault="001E25CD" w:rsidP="001E25CD">
      <w:pPr>
        <w:widowControl/>
        <w:numPr>
          <w:ilvl w:val="0"/>
          <w:numId w:val="26"/>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необходимость гарантийного и послегарантийного</w:t>
      </w:r>
      <w:r w:rsidRPr="001E25CD">
        <w:rPr>
          <w:rFonts w:ascii="Georgia" w:eastAsia="Times New Roman" w:hAnsi="Georgia" w:cs="Times New Roman"/>
          <w:b/>
          <w:bCs/>
          <w:color w:val="000000"/>
          <w:sz w:val="24"/>
          <w:szCs w:val="24"/>
          <w:lang w:bidi="ar-SA"/>
        </w:rPr>
        <w:t> </w:t>
      </w:r>
      <w:r w:rsidRPr="001E25CD">
        <w:rPr>
          <w:rFonts w:ascii="Georgia" w:eastAsia="Times New Roman" w:hAnsi="Georgia" w:cs="Times New Roman"/>
          <w:color w:val="000000"/>
          <w:sz w:val="24"/>
          <w:szCs w:val="24"/>
          <w:lang w:bidi="ar-SA"/>
        </w:rPr>
        <w:t>обслуживания. Совокупные затраты потребителя на приобретение и эксплуатацию состоят из суммы розничной цены и расходов по эксплуатационно-техническому обслуживанию за весь срок службы. В этом аспекте расходы по эксплуатационно-техническому обслуживанию за весь срок службы мебели не существенны, но могут достигать до 20-25 % ее первоначальной стоимости. В частности, потребители меняют фасады корпусной и обивку мягкой мебели, вносят конструктивные изменения в кухонную мебель. Отдельно стоит упомянуть стоимость сборки мебели, которая может составлять от 5 до 10% от первоначальной стоимости.</w:t>
      </w:r>
    </w:p>
    <w:p w14:paraId="5C772595" w14:textId="77777777" w:rsidR="001E25CD" w:rsidRPr="001E25CD" w:rsidRDefault="001E25CD" w:rsidP="001E25CD">
      <w:pPr>
        <w:widowControl/>
        <w:numPr>
          <w:ilvl w:val="0"/>
          <w:numId w:val="26"/>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продолжительный период выбора и совершения покупки</w:t>
      </w:r>
      <w:r w:rsidRPr="001E25CD">
        <w:rPr>
          <w:rFonts w:ascii="Georgia" w:eastAsia="Times New Roman" w:hAnsi="Georgia" w:cs="Times New Roman"/>
          <w:b/>
          <w:bCs/>
          <w:color w:val="000000"/>
          <w:sz w:val="24"/>
          <w:szCs w:val="24"/>
          <w:lang w:bidi="ar-SA"/>
        </w:rPr>
        <w:t> </w:t>
      </w:r>
      <w:r w:rsidRPr="001E25CD">
        <w:rPr>
          <w:rFonts w:ascii="Georgia" w:eastAsia="Times New Roman" w:hAnsi="Georgia" w:cs="Times New Roman"/>
          <w:color w:val="000000"/>
          <w:sz w:val="24"/>
          <w:szCs w:val="24"/>
          <w:lang w:bidi="ar-SA"/>
        </w:rPr>
        <w:t>потребителем. Выбор потребителем мебели составляет от 2 до 4 недель (а в некоторых случаях откладывается на несколько месяцев до очередной выставки) и в его таблицу сравнения попадает до 10 моделей, которые сравниваются по 10-15 характеристикам. Основные сравниваемые характеристики: цена, внешний вид, расцветка, удобство использования, качество сборки, качество материалов, удобство ухода, скидки, долговечность.</w:t>
      </w:r>
    </w:p>
    <w:p w14:paraId="61E9B273" w14:textId="77777777" w:rsidR="001E25CD" w:rsidRPr="001E25CD" w:rsidRDefault="001E25CD" w:rsidP="001E25CD">
      <w:pPr>
        <w:widowControl/>
        <w:numPr>
          <w:ilvl w:val="0"/>
          <w:numId w:val="26"/>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моральный износ товаров длительного пользования</w:t>
      </w:r>
      <w:r w:rsidRPr="001E25CD">
        <w:rPr>
          <w:rFonts w:ascii="Georgia" w:eastAsia="Times New Roman" w:hAnsi="Georgia" w:cs="Times New Roman"/>
          <w:b/>
          <w:bCs/>
          <w:color w:val="000000"/>
          <w:sz w:val="24"/>
          <w:szCs w:val="24"/>
          <w:lang w:bidi="ar-SA"/>
        </w:rPr>
        <w:t>.</w:t>
      </w:r>
      <w:r w:rsidRPr="001E25CD">
        <w:rPr>
          <w:rFonts w:ascii="Georgia" w:eastAsia="Times New Roman" w:hAnsi="Georgia" w:cs="Times New Roman"/>
          <w:color w:val="000000"/>
          <w:sz w:val="24"/>
          <w:szCs w:val="24"/>
          <w:lang w:bidi="ar-SA"/>
        </w:rPr>
        <w:t> Помимо физического износа, особое значение приобретает моральный износ. Некоторые крупные операторы мирового мебельного рынка (</w:t>
      </w:r>
      <w:proofErr w:type="spellStart"/>
      <w:r w:rsidRPr="001E25CD">
        <w:rPr>
          <w:rFonts w:ascii="Georgia" w:eastAsia="Times New Roman" w:hAnsi="Georgia" w:cs="Times New Roman"/>
          <w:color w:val="000000"/>
          <w:sz w:val="24"/>
          <w:szCs w:val="24"/>
          <w:lang w:bidi="ar-SA"/>
        </w:rPr>
        <w:t>Ikea</w:t>
      </w:r>
      <w:proofErr w:type="spellEnd"/>
      <w:r w:rsidRPr="001E25CD">
        <w:rPr>
          <w:rFonts w:ascii="Georgia" w:eastAsia="Times New Roman" w:hAnsi="Georgia" w:cs="Times New Roman"/>
          <w:color w:val="000000"/>
          <w:sz w:val="24"/>
          <w:szCs w:val="24"/>
          <w:lang w:bidi="ar-SA"/>
        </w:rPr>
        <w:t xml:space="preserve">, </w:t>
      </w:r>
      <w:proofErr w:type="spellStart"/>
      <w:r w:rsidRPr="001E25CD">
        <w:rPr>
          <w:rFonts w:ascii="Georgia" w:eastAsia="Times New Roman" w:hAnsi="Georgia" w:cs="Times New Roman"/>
          <w:color w:val="000000"/>
          <w:sz w:val="24"/>
          <w:szCs w:val="24"/>
          <w:lang w:bidi="ar-SA"/>
        </w:rPr>
        <w:t>Nolte</w:t>
      </w:r>
      <w:proofErr w:type="spellEnd"/>
      <w:r w:rsidRPr="001E25CD">
        <w:rPr>
          <w:rFonts w:ascii="Georgia" w:eastAsia="Times New Roman" w:hAnsi="Georgia" w:cs="Times New Roman"/>
          <w:color w:val="000000"/>
          <w:sz w:val="24"/>
          <w:szCs w:val="24"/>
          <w:lang w:bidi="ar-SA"/>
        </w:rPr>
        <w:t xml:space="preserve">, </w:t>
      </w:r>
      <w:proofErr w:type="spellStart"/>
      <w:r w:rsidRPr="001E25CD">
        <w:rPr>
          <w:rFonts w:ascii="Georgia" w:eastAsia="Times New Roman" w:hAnsi="Georgia" w:cs="Times New Roman"/>
          <w:color w:val="000000"/>
          <w:sz w:val="24"/>
          <w:szCs w:val="24"/>
          <w:lang w:bidi="ar-SA"/>
        </w:rPr>
        <w:t>Natuzzi</w:t>
      </w:r>
      <w:proofErr w:type="spellEnd"/>
      <w:r w:rsidRPr="001E25CD">
        <w:rPr>
          <w:rFonts w:ascii="Georgia" w:eastAsia="Times New Roman" w:hAnsi="Georgia" w:cs="Times New Roman"/>
          <w:color w:val="000000"/>
          <w:sz w:val="24"/>
          <w:szCs w:val="24"/>
          <w:lang w:bidi="ar-SA"/>
        </w:rPr>
        <w:t xml:space="preserve">, </w:t>
      </w:r>
      <w:proofErr w:type="spellStart"/>
      <w:r w:rsidRPr="001E25CD">
        <w:rPr>
          <w:rFonts w:ascii="Georgia" w:eastAsia="Times New Roman" w:hAnsi="Georgia" w:cs="Times New Roman"/>
          <w:color w:val="000000"/>
          <w:sz w:val="24"/>
          <w:szCs w:val="24"/>
          <w:lang w:bidi="ar-SA"/>
        </w:rPr>
        <w:t>Rolf</w:t>
      </w:r>
      <w:proofErr w:type="spellEnd"/>
      <w:r w:rsidRPr="001E25CD">
        <w:rPr>
          <w:rFonts w:ascii="Georgia" w:eastAsia="Times New Roman" w:hAnsi="Georgia" w:cs="Times New Roman"/>
          <w:color w:val="000000"/>
          <w:sz w:val="24"/>
          <w:szCs w:val="24"/>
          <w:lang w:bidi="ar-SA"/>
        </w:rPr>
        <w:t xml:space="preserve"> </w:t>
      </w:r>
      <w:proofErr w:type="spellStart"/>
      <w:r w:rsidRPr="001E25CD">
        <w:rPr>
          <w:rFonts w:ascii="Georgia" w:eastAsia="Times New Roman" w:hAnsi="Georgia" w:cs="Times New Roman"/>
          <w:color w:val="000000"/>
          <w:sz w:val="24"/>
          <w:szCs w:val="24"/>
          <w:lang w:bidi="ar-SA"/>
        </w:rPr>
        <w:t>Benz</w:t>
      </w:r>
      <w:proofErr w:type="spellEnd"/>
      <w:r w:rsidRPr="001E25CD">
        <w:rPr>
          <w:rFonts w:ascii="Georgia" w:eastAsia="Times New Roman" w:hAnsi="Georgia" w:cs="Times New Roman"/>
          <w:color w:val="000000"/>
          <w:sz w:val="24"/>
          <w:szCs w:val="24"/>
          <w:lang w:bidi="ar-SA"/>
        </w:rPr>
        <w:t xml:space="preserve"> и др.) стимулируют развитие рынка за счет агрессивной рекламной политики и вводят понятие модных тенденций в мебели, что позволяет им практиковать постоянную смену своих коллекций.</w:t>
      </w:r>
    </w:p>
    <w:p w14:paraId="5D6FC024"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Развитию мебельного производства в Нижегородской области придало ощутимый импульс с середины 90-х годов появление собственных нижегородских производителей.</w:t>
      </w:r>
    </w:p>
    <w:p w14:paraId="232B012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Среди основных тенденций нижегородского рынка мебели можно назвать следующие:</w:t>
      </w:r>
    </w:p>
    <w:p w14:paraId="43D88B2A" w14:textId="77777777" w:rsidR="001E25CD" w:rsidRPr="001E25CD" w:rsidRDefault="001E25CD" w:rsidP="001E25CD">
      <w:pPr>
        <w:widowControl/>
        <w:numPr>
          <w:ilvl w:val="0"/>
          <w:numId w:val="27"/>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высокая конкуренция крупных мебельных компаний со средними производителями в сегментах недорогой корпусной и мягкой мебели;</w:t>
      </w:r>
    </w:p>
    <w:p w14:paraId="655F9B1A" w14:textId="77777777" w:rsidR="001E25CD" w:rsidRPr="001E25CD" w:rsidRDefault="001E25CD" w:rsidP="001E25CD">
      <w:pPr>
        <w:widowControl/>
        <w:numPr>
          <w:ilvl w:val="0"/>
          <w:numId w:val="27"/>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постепенное насыщение мебельного рынка и в связи с этим развитие экспорта большинства производителей на территории других регионов России;</w:t>
      </w:r>
    </w:p>
    <w:p w14:paraId="1FCE3446" w14:textId="77777777" w:rsidR="001E25CD" w:rsidRPr="001E25CD" w:rsidRDefault="001E25CD" w:rsidP="001E25CD">
      <w:pPr>
        <w:widowControl/>
        <w:numPr>
          <w:ilvl w:val="0"/>
          <w:numId w:val="27"/>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отсутствие полноценных отделов маркетинга и НИОКР у большинства фабрик, ограничение бюджетов по маркетингу и разработкам новых продуктов. Как следствие, отсутствие разработанной маркетинговой стратегии и позиционирования у многих производителей. Частичное или полное подражание дизайну мебели мировых лидеров. Отсутствие комплексных исследований рынка при запуске новых направлений мебели. Мнение руководства, представителей и дилеров фабрик в регионах во многом определяют маркетинговую политику производства, тогда как надо в первую очередь учитывать результаты маркетинговых исследований. Поэтому темпы роста нижегородских мебельных фабрик во многом зависят от активности и продаж региональных представителей и дилеров;</w:t>
      </w:r>
    </w:p>
    <w:p w14:paraId="44B836A0" w14:textId="77777777" w:rsidR="001E25CD" w:rsidRPr="001E25CD" w:rsidRDefault="001E25CD" w:rsidP="001E25CD">
      <w:pPr>
        <w:widowControl/>
        <w:numPr>
          <w:ilvl w:val="0"/>
          <w:numId w:val="27"/>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высокое качество мебели, экспортируемой в другие регионы России.</w:t>
      </w:r>
    </w:p>
    <w:p w14:paraId="6A145FC1"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ООО «Сентябрь» производит мебель, которую она реализует через свои магазины-салоны, находящиеся в г. Дзержинск Нижегородской области. В этих салонах покупатель может заказать мебель в любой комплектации.</w:t>
      </w:r>
    </w:p>
    <w:p w14:paraId="2AAA61D5" w14:textId="77777777" w:rsidR="001E25CD" w:rsidRPr="001E25CD" w:rsidRDefault="001E25CD" w:rsidP="001E25CD">
      <w:pPr>
        <w:widowControl/>
        <w:shd w:val="clear" w:color="auto" w:fill="FFFFFF"/>
        <w:autoSpaceDE/>
        <w:autoSpaceDN/>
        <w:spacing w:before="100" w:beforeAutospacing="1" w:line="360" w:lineRule="atLeast"/>
        <w:ind w:firstLine="709"/>
        <w:jc w:val="righ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Таблица 4</w:t>
      </w:r>
    </w:p>
    <w:p w14:paraId="6577DF60" w14:textId="77777777"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Магазины-салоны ООО «Сентябрь»</w:t>
      </w:r>
    </w:p>
    <w:tbl>
      <w:tblPr>
        <w:tblW w:w="9765" w:type="dxa"/>
        <w:tblCellSpacing w:w="0" w:type="dxa"/>
        <w:tblInd w:w="15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633"/>
        <w:gridCol w:w="5057"/>
        <w:gridCol w:w="1240"/>
        <w:gridCol w:w="2835"/>
      </w:tblGrid>
      <w:tr w:rsidR="001E25CD" w:rsidRPr="001E25CD" w14:paraId="27679B5B" w14:textId="77777777" w:rsidTr="00652596">
        <w:trPr>
          <w:tblCellSpacing w:w="0" w:type="dxa"/>
        </w:trPr>
        <w:tc>
          <w:tcPr>
            <w:tcW w:w="633" w:type="dxa"/>
            <w:tcBorders>
              <w:top w:val="outset" w:sz="6" w:space="0" w:color="000000"/>
              <w:left w:val="outset" w:sz="6" w:space="0" w:color="000000"/>
              <w:bottom w:val="outset" w:sz="6" w:space="0" w:color="000000"/>
              <w:right w:val="outset" w:sz="6" w:space="0" w:color="000000"/>
            </w:tcBorders>
            <w:shd w:val="clear" w:color="auto" w:fill="FFFFFF"/>
            <w:hideMark/>
          </w:tcPr>
          <w:p w14:paraId="42C14C27" w14:textId="77777777" w:rsidR="001E25CD" w:rsidRPr="001E25CD" w:rsidRDefault="001E25CD" w:rsidP="001E25CD">
            <w:pPr>
              <w:widowControl/>
              <w:autoSpaceDE/>
              <w:autoSpaceDN/>
              <w:spacing w:before="150" w:after="150"/>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w:t>
            </w: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14:paraId="0C934BB0" w14:textId="77777777" w:rsidR="001E25CD" w:rsidRPr="001E25CD" w:rsidRDefault="001E25CD" w:rsidP="001E25CD">
            <w:pPr>
              <w:widowControl/>
              <w:autoSpaceDE/>
              <w:autoSpaceDN/>
              <w:spacing w:before="150" w:after="150"/>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Адрес</w:t>
            </w:r>
          </w:p>
        </w:tc>
        <w:tc>
          <w:tcPr>
            <w:tcW w:w="1240" w:type="dxa"/>
            <w:tcBorders>
              <w:top w:val="outset" w:sz="6" w:space="0" w:color="000000"/>
              <w:left w:val="outset" w:sz="6" w:space="0" w:color="000000"/>
              <w:bottom w:val="outset" w:sz="6" w:space="0" w:color="000000"/>
              <w:right w:val="outset" w:sz="6" w:space="0" w:color="000000"/>
            </w:tcBorders>
            <w:shd w:val="clear" w:color="auto" w:fill="FFFFFF"/>
            <w:hideMark/>
          </w:tcPr>
          <w:p w14:paraId="09CB5869" w14:textId="77777777" w:rsidR="001E25CD" w:rsidRPr="001E25CD" w:rsidRDefault="001E25CD" w:rsidP="001E25CD">
            <w:pPr>
              <w:widowControl/>
              <w:autoSpaceDE/>
              <w:autoSpaceDN/>
              <w:spacing w:before="150" w:after="150"/>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Размер</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14:paraId="590B73D5" w14:textId="77777777" w:rsidR="001E25CD" w:rsidRPr="001E25CD" w:rsidRDefault="001E25CD" w:rsidP="001E25CD">
            <w:pPr>
              <w:widowControl/>
              <w:autoSpaceDE/>
              <w:autoSpaceDN/>
              <w:spacing w:before="150" w:after="150"/>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Характер реализуемой продукции</w:t>
            </w:r>
          </w:p>
        </w:tc>
      </w:tr>
      <w:tr w:rsidR="001E25CD" w:rsidRPr="001E25CD" w14:paraId="09F86FB2" w14:textId="77777777" w:rsidTr="00652596">
        <w:trPr>
          <w:tblCellSpacing w:w="0" w:type="dxa"/>
        </w:trPr>
        <w:tc>
          <w:tcPr>
            <w:tcW w:w="633" w:type="dxa"/>
            <w:tcBorders>
              <w:top w:val="outset" w:sz="6" w:space="0" w:color="000000"/>
              <w:left w:val="outset" w:sz="6" w:space="0" w:color="000000"/>
              <w:bottom w:val="outset" w:sz="6" w:space="0" w:color="000000"/>
              <w:right w:val="outset" w:sz="6" w:space="0" w:color="000000"/>
            </w:tcBorders>
            <w:shd w:val="clear" w:color="auto" w:fill="FFFFFF"/>
            <w:hideMark/>
          </w:tcPr>
          <w:p w14:paraId="4CBFB7E4" w14:textId="77777777" w:rsidR="001E25CD" w:rsidRPr="001E25CD" w:rsidRDefault="001E25CD" w:rsidP="001E25CD">
            <w:pPr>
              <w:widowControl/>
              <w:autoSpaceDE/>
              <w:autoSpaceDN/>
              <w:spacing w:before="150" w:after="150"/>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w:t>
            </w: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14:paraId="71FE8AC1" w14:textId="77777777" w:rsidR="001E25CD" w:rsidRPr="001E25CD" w:rsidRDefault="001E25CD" w:rsidP="001E25CD">
            <w:pPr>
              <w:widowControl/>
              <w:autoSpaceDE/>
              <w:autoSpaceDN/>
              <w:spacing w:before="150" w:after="150"/>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 xml:space="preserve">Нижегородская область, г. Дзержинск, </w:t>
            </w:r>
            <w:proofErr w:type="spellStart"/>
            <w:r w:rsidRPr="001E25CD">
              <w:rPr>
                <w:rFonts w:ascii="Georgia" w:eastAsia="Times New Roman" w:hAnsi="Georgia" w:cs="Times New Roman"/>
                <w:sz w:val="18"/>
                <w:szCs w:val="18"/>
                <w:lang w:bidi="ar-SA"/>
              </w:rPr>
              <w:t>пр.Ленина</w:t>
            </w:r>
            <w:proofErr w:type="spellEnd"/>
          </w:p>
        </w:tc>
        <w:tc>
          <w:tcPr>
            <w:tcW w:w="1240" w:type="dxa"/>
            <w:tcBorders>
              <w:top w:val="outset" w:sz="6" w:space="0" w:color="000000"/>
              <w:left w:val="outset" w:sz="6" w:space="0" w:color="000000"/>
              <w:bottom w:val="outset" w:sz="6" w:space="0" w:color="000000"/>
              <w:right w:val="outset" w:sz="6" w:space="0" w:color="000000"/>
            </w:tcBorders>
            <w:shd w:val="clear" w:color="auto" w:fill="FFFFFF"/>
            <w:hideMark/>
          </w:tcPr>
          <w:p w14:paraId="4D1E01A7" w14:textId="77777777" w:rsidR="001E25CD" w:rsidRPr="001E25CD" w:rsidRDefault="001E25CD" w:rsidP="001E25CD">
            <w:pPr>
              <w:widowControl/>
              <w:autoSpaceDE/>
              <w:autoSpaceDN/>
              <w:spacing w:before="150" w:after="150"/>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 xml:space="preserve">102 </w:t>
            </w:r>
            <w:proofErr w:type="spellStart"/>
            <w:r w:rsidRPr="001E25CD">
              <w:rPr>
                <w:rFonts w:ascii="Georgia" w:eastAsia="Times New Roman" w:hAnsi="Georgia" w:cs="Times New Roman"/>
                <w:sz w:val="18"/>
                <w:szCs w:val="18"/>
                <w:lang w:bidi="ar-SA"/>
              </w:rPr>
              <w:t>кв.м</w:t>
            </w:r>
            <w:proofErr w:type="spellEnd"/>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14:paraId="1332411B" w14:textId="77777777" w:rsidR="001E25CD" w:rsidRPr="001E25CD" w:rsidRDefault="001E25CD" w:rsidP="001E25CD">
            <w:pPr>
              <w:widowControl/>
              <w:autoSpaceDE/>
              <w:autoSpaceDN/>
              <w:spacing w:before="150" w:after="150"/>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Мягкая мебель, корпусная мебель</w:t>
            </w:r>
          </w:p>
        </w:tc>
      </w:tr>
      <w:tr w:rsidR="001E25CD" w:rsidRPr="001E25CD" w14:paraId="7E22B15A" w14:textId="77777777" w:rsidTr="00652596">
        <w:trPr>
          <w:tblCellSpacing w:w="0" w:type="dxa"/>
        </w:trPr>
        <w:tc>
          <w:tcPr>
            <w:tcW w:w="633" w:type="dxa"/>
            <w:tcBorders>
              <w:top w:val="outset" w:sz="6" w:space="0" w:color="000000"/>
              <w:left w:val="outset" w:sz="6" w:space="0" w:color="000000"/>
              <w:bottom w:val="outset" w:sz="6" w:space="0" w:color="000000"/>
              <w:right w:val="outset" w:sz="6" w:space="0" w:color="000000"/>
            </w:tcBorders>
            <w:shd w:val="clear" w:color="auto" w:fill="FFFFFF"/>
            <w:hideMark/>
          </w:tcPr>
          <w:p w14:paraId="1AE1ACB3" w14:textId="77777777" w:rsidR="001E25CD" w:rsidRPr="001E25CD" w:rsidRDefault="001E25CD" w:rsidP="001E25CD">
            <w:pPr>
              <w:widowControl/>
              <w:autoSpaceDE/>
              <w:autoSpaceDN/>
              <w:spacing w:before="150" w:after="150"/>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2</w:t>
            </w:r>
          </w:p>
        </w:tc>
        <w:tc>
          <w:tcPr>
            <w:tcW w:w="5057" w:type="dxa"/>
            <w:tcBorders>
              <w:top w:val="outset" w:sz="6" w:space="0" w:color="000000"/>
              <w:left w:val="outset" w:sz="6" w:space="0" w:color="000000"/>
              <w:bottom w:val="outset" w:sz="6" w:space="0" w:color="000000"/>
              <w:right w:val="outset" w:sz="6" w:space="0" w:color="000000"/>
            </w:tcBorders>
            <w:shd w:val="clear" w:color="auto" w:fill="FFFFFF"/>
            <w:hideMark/>
          </w:tcPr>
          <w:p w14:paraId="5EAB08DF" w14:textId="77777777" w:rsidR="001E25CD" w:rsidRPr="001E25CD" w:rsidRDefault="001E25CD" w:rsidP="001E25CD">
            <w:pPr>
              <w:widowControl/>
              <w:autoSpaceDE/>
              <w:autoSpaceDN/>
              <w:spacing w:before="150" w:after="150"/>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Нижегородская область, г. Дзержинск, пр. Циолковского</w:t>
            </w:r>
          </w:p>
        </w:tc>
        <w:tc>
          <w:tcPr>
            <w:tcW w:w="1240" w:type="dxa"/>
            <w:tcBorders>
              <w:top w:val="outset" w:sz="6" w:space="0" w:color="000000"/>
              <w:left w:val="outset" w:sz="6" w:space="0" w:color="000000"/>
              <w:bottom w:val="outset" w:sz="6" w:space="0" w:color="000000"/>
              <w:right w:val="outset" w:sz="6" w:space="0" w:color="000000"/>
            </w:tcBorders>
            <w:shd w:val="clear" w:color="auto" w:fill="FFFFFF"/>
            <w:hideMark/>
          </w:tcPr>
          <w:p w14:paraId="6280358A" w14:textId="77777777" w:rsidR="001E25CD" w:rsidRPr="001E25CD" w:rsidRDefault="001E25CD" w:rsidP="001E25CD">
            <w:pPr>
              <w:widowControl/>
              <w:autoSpaceDE/>
              <w:autoSpaceDN/>
              <w:spacing w:before="150" w:after="150"/>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 xml:space="preserve">107 </w:t>
            </w:r>
            <w:proofErr w:type="spellStart"/>
            <w:r w:rsidRPr="001E25CD">
              <w:rPr>
                <w:rFonts w:ascii="Georgia" w:eastAsia="Times New Roman" w:hAnsi="Georgia" w:cs="Times New Roman"/>
                <w:sz w:val="18"/>
                <w:szCs w:val="18"/>
                <w:lang w:bidi="ar-SA"/>
              </w:rPr>
              <w:t>кв.м</w:t>
            </w:r>
            <w:proofErr w:type="spellEnd"/>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14:paraId="6B92E9DD" w14:textId="77777777" w:rsidR="001E25CD" w:rsidRPr="001E25CD" w:rsidRDefault="001E25CD" w:rsidP="001E25CD">
            <w:pPr>
              <w:widowControl/>
              <w:autoSpaceDE/>
              <w:autoSpaceDN/>
              <w:spacing w:before="150" w:after="150"/>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Мягкая мебель, корпусная мебель, зеркала, матрасы</w:t>
            </w:r>
          </w:p>
        </w:tc>
      </w:tr>
    </w:tbl>
    <w:p w14:paraId="13FAC37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Для того, чтобы расширить рынок сбыта ООО «Сентябрь» открывает новый магазин-салон в г. </w:t>
      </w:r>
      <w:proofErr w:type="spellStart"/>
      <w:r w:rsidRPr="001E25CD">
        <w:rPr>
          <w:rFonts w:ascii="Georgia" w:eastAsia="Times New Roman" w:hAnsi="Georgia" w:cs="Times New Roman"/>
          <w:color w:val="000000"/>
          <w:sz w:val="24"/>
          <w:szCs w:val="24"/>
          <w:lang w:bidi="ar-SA"/>
        </w:rPr>
        <w:t>Н.Новгород</w:t>
      </w:r>
      <w:proofErr w:type="spellEnd"/>
      <w:r w:rsidRPr="001E25CD">
        <w:rPr>
          <w:rFonts w:ascii="Georgia" w:eastAsia="Times New Roman" w:hAnsi="Georgia" w:cs="Times New Roman"/>
          <w:color w:val="000000"/>
          <w:sz w:val="24"/>
          <w:szCs w:val="24"/>
          <w:lang w:bidi="ar-SA"/>
        </w:rPr>
        <w:t>. Он будет располагаться на первом этаже многоэтажного жилого здания, находящегося во вновь построенном доме по адресу: г. Нижний Новгород, ул. Касьянова.</w:t>
      </w:r>
    </w:p>
    <w:p w14:paraId="1629196D" w14:textId="77777777" w:rsidR="001E25CD" w:rsidRPr="001E25CD" w:rsidRDefault="001E25CD" w:rsidP="001E25CD">
      <w:pPr>
        <w:widowControl/>
        <w:shd w:val="clear" w:color="auto" w:fill="FFFFFF"/>
        <w:autoSpaceDE/>
        <w:autoSpaceDN/>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Анализируя особенности местонахождения данного магазина ООО «Сентябрь» следует отметить, что его отличает удачное месторасположение, которое характеризуется близостью к транспортным развязкам, наличием подъездных путей и удобной парковки.</w:t>
      </w:r>
    </w:p>
    <w:p w14:paraId="41C12DBC" w14:textId="77777777" w:rsidR="001E25CD" w:rsidRPr="001E25CD" w:rsidRDefault="001E25CD" w:rsidP="001E25CD">
      <w:pPr>
        <w:widowControl/>
        <w:shd w:val="clear" w:color="auto" w:fill="FFFFFF"/>
        <w:autoSpaceDE/>
        <w:autoSpaceDN/>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Для Нижнего Новгорода, емкость рынка сбыта рассчитывалась, исходя из следующих данных:</w:t>
      </w:r>
    </w:p>
    <w:p w14:paraId="2B04558C" w14:textId="77777777" w:rsidR="001E25CD" w:rsidRPr="001E25CD" w:rsidRDefault="001E25CD" w:rsidP="001E25CD">
      <w:pPr>
        <w:widowControl/>
        <w:numPr>
          <w:ilvl w:val="0"/>
          <w:numId w:val="28"/>
        </w:numPr>
        <w:shd w:val="clear" w:color="auto" w:fill="FFFFFF"/>
        <w:autoSpaceDE/>
        <w:autoSpaceDN/>
        <w:spacing w:beforeAutospacing="1" w:afterAutospacing="1"/>
        <w:ind w:left="144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численность населения г. Нижний Новгород составляет 1280,3 тысяч человек</w:t>
      </w:r>
    </w:p>
    <w:p w14:paraId="6052A3F0" w14:textId="77777777" w:rsidR="001E25CD" w:rsidRPr="001E25CD" w:rsidRDefault="001E25CD" w:rsidP="001E25CD">
      <w:pPr>
        <w:widowControl/>
        <w:numPr>
          <w:ilvl w:val="0"/>
          <w:numId w:val="28"/>
        </w:numPr>
        <w:shd w:val="clear" w:color="auto" w:fill="FFFFFF"/>
        <w:autoSpaceDE/>
        <w:autoSpaceDN/>
        <w:spacing w:beforeAutospacing="1" w:afterAutospacing="1"/>
        <w:ind w:left="144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доля платежеспособного населения 40 % от общего числа предполагается, что доля потенциальных клиентов составит 11 % от общего числа платежеспособного;</w:t>
      </w:r>
    </w:p>
    <w:p w14:paraId="5D682459" w14:textId="77777777" w:rsidR="001E25CD" w:rsidRPr="001E25CD" w:rsidRDefault="001E25CD" w:rsidP="001E25CD">
      <w:pPr>
        <w:widowControl/>
        <w:numPr>
          <w:ilvl w:val="0"/>
          <w:numId w:val="28"/>
        </w:numPr>
        <w:shd w:val="clear" w:color="auto" w:fill="FFFFFF"/>
        <w:autoSpaceDE/>
        <w:autoSpaceDN/>
        <w:spacing w:beforeAutospacing="1" w:afterAutospacing="1"/>
        <w:ind w:left="144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населения (остальные 89% являются потенциальными покупателями конкурентов);</w:t>
      </w:r>
    </w:p>
    <w:p w14:paraId="7F475553" w14:textId="77777777" w:rsidR="001E25CD" w:rsidRPr="001E25CD" w:rsidRDefault="001E25CD" w:rsidP="001E25CD">
      <w:pPr>
        <w:widowControl/>
        <w:numPr>
          <w:ilvl w:val="0"/>
          <w:numId w:val="28"/>
        </w:numPr>
        <w:shd w:val="clear" w:color="auto" w:fill="FFFFFF"/>
        <w:autoSpaceDE/>
        <w:autoSpaceDN/>
        <w:spacing w:beforeAutospacing="1" w:afterAutospacing="1"/>
        <w:ind w:left="144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предполагается, что среднее количество совершаемых покупок из предметов мебели среди населения составит 0,8 предметов в 15 лет из расчета на одного человека.</w:t>
      </w:r>
    </w:p>
    <w:p w14:paraId="6EA1600A"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Емкость рынка сбыта - (1 280 300 х 0,4)/15х0,11 х 0,8 = 3004,437 изделий мебели в год, что составит 250,369 изделий в месяц. </w:t>
      </w:r>
      <w:r w:rsidRPr="001E25CD">
        <w:rPr>
          <w:rFonts w:ascii="Georgia" w:eastAsia="Times New Roman" w:hAnsi="Georgia" w:cs="Times New Roman"/>
          <w:color w:val="000000"/>
          <w:sz w:val="24"/>
          <w:szCs w:val="24"/>
          <w:lang w:bidi="ar-SA"/>
        </w:rPr>
        <w:br/>
        <w:t>  </w:t>
      </w:r>
    </w:p>
    <w:p w14:paraId="3FEE4875" w14:textId="315E171A" w:rsidR="001E25CD" w:rsidRPr="001E25CD" w:rsidRDefault="001E25CD" w:rsidP="001E25CD">
      <w:pPr>
        <w:widowControl/>
        <w:shd w:val="clear" w:color="auto" w:fill="FFFFFF"/>
        <w:autoSpaceDE/>
        <w:autoSpaceDN/>
        <w:spacing w:before="100" w:beforeAutospacing="1" w:line="360" w:lineRule="atLeast"/>
        <w:ind w:left="363"/>
        <w:jc w:val="center"/>
        <w:rPr>
          <w:rFonts w:ascii="Georgia" w:eastAsia="Times New Roman" w:hAnsi="Georgia" w:cs="Times New Roman"/>
          <w:color w:val="000000"/>
          <w:sz w:val="24"/>
          <w:szCs w:val="24"/>
          <w:lang w:bidi="ar-SA"/>
        </w:rPr>
      </w:pPr>
      <w:r w:rsidRPr="001E25CD">
        <w:rPr>
          <w:rFonts w:ascii="Georgia" w:eastAsia="Times New Roman" w:hAnsi="Georgia" w:cs="Times New Roman"/>
          <w:b/>
          <w:bCs/>
          <w:color w:val="000000"/>
          <w:sz w:val="24"/>
          <w:szCs w:val="24"/>
          <w:lang w:bidi="ar-SA"/>
        </w:rPr>
        <w:t>Маркетинговое и финансовое обоснование бизнес-плана ООО «СЕНТЯБРЬ»</w:t>
      </w:r>
    </w:p>
    <w:p w14:paraId="335E8ED7" w14:textId="01A90DED"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r w:rsidRPr="001E25CD">
        <w:rPr>
          <w:rFonts w:ascii="Georgia" w:eastAsia="Times New Roman" w:hAnsi="Georgia" w:cs="Times New Roman"/>
          <w:b/>
          <w:bCs/>
          <w:color w:val="000000"/>
          <w:sz w:val="24"/>
          <w:szCs w:val="24"/>
          <w:lang w:bidi="ar-SA"/>
        </w:rPr>
        <w:t>План маркетинга</w:t>
      </w:r>
    </w:p>
    <w:p w14:paraId="4D9A9BE1"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 настоящее время в Нижнем Новгороде функционирует более 20 фирм по производству мягкой мебели. На рынке также представлена мебель Чехии, Италии, Финляндии. Конкуренция на рынке чрезвычайно высока.</w:t>
      </w:r>
    </w:p>
    <w:p w14:paraId="3F5AF568"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Для того, чтобы выявить особенности компании на рынке проведем SWOT-анализ ООО «Сентябрь». Матрица SWOT содержится в Приложении 7.</w:t>
      </w:r>
    </w:p>
    <w:p w14:paraId="1F857B7D"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SWOT-анализ раскрыл слабые и сильные стороны ООО «Сентябрь». Составленная матрица SWOT-анализа позволяет сформулировать перечень первоочередных мероприятий, которые должна провести компания для совершенствования системы управления маркетингом:</w:t>
      </w:r>
    </w:p>
    <w:p w14:paraId="5EDF22AE" w14:textId="77777777" w:rsidR="001E25CD" w:rsidRPr="001E25CD" w:rsidRDefault="001E25CD" w:rsidP="001E25CD">
      <w:pPr>
        <w:widowControl/>
        <w:numPr>
          <w:ilvl w:val="0"/>
          <w:numId w:val="29"/>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Развитие маркетинговой деятельности</w:t>
      </w:r>
    </w:p>
    <w:p w14:paraId="314256DC" w14:textId="77777777" w:rsidR="001E25CD" w:rsidRPr="001E25CD" w:rsidRDefault="001E25CD" w:rsidP="001E25CD">
      <w:pPr>
        <w:widowControl/>
        <w:numPr>
          <w:ilvl w:val="0"/>
          <w:numId w:val="29"/>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Усиление рекламной деятельности</w:t>
      </w:r>
    </w:p>
    <w:p w14:paraId="590B141B" w14:textId="77777777" w:rsidR="001E25CD" w:rsidRPr="001E25CD" w:rsidRDefault="001E25CD" w:rsidP="001E25CD">
      <w:pPr>
        <w:widowControl/>
        <w:numPr>
          <w:ilvl w:val="0"/>
          <w:numId w:val="29"/>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Выход на дополнительные группы потребителей</w:t>
      </w:r>
    </w:p>
    <w:p w14:paraId="190F3603" w14:textId="77777777" w:rsidR="001E25CD" w:rsidRPr="001E25CD" w:rsidRDefault="001E25CD" w:rsidP="001E25CD">
      <w:pPr>
        <w:widowControl/>
        <w:numPr>
          <w:ilvl w:val="0"/>
          <w:numId w:val="29"/>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Совершенствование качества выпускаемой продукции</w:t>
      </w:r>
    </w:p>
    <w:p w14:paraId="7797E1A2" w14:textId="77777777" w:rsidR="001E25CD" w:rsidRPr="001E25CD" w:rsidRDefault="001E25CD" w:rsidP="001E25CD">
      <w:pPr>
        <w:widowControl/>
        <w:numPr>
          <w:ilvl w:val="0"/>
          <w:numId w:val="29"/>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Формирование собственной торговой марки.</w:t>
      </w:r>
    </w:p>
    <w:p w14:paraId="18B80E2C"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ООО «Сентябрь» осуществляет работу по формированию эффективного имиджа предприятия и его продукции в трех направлениях: формирование внешнего, внутреннего и осязаемого имиджа.</w:t>
      </w:r>
    </w:p>
    <w:p w14:paraId="68046D72"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Перечислим основные аспекты маркетинговой деятельности, направленные на популяризацию продукции ООО «Сентябрь».</w:t>
      </w:r>
    </w:p>
    <w:p w14:paraId="0CE7A8DA"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ООО «Сентябрь» предполагает освоить рынок мебели в микрорайоне Верхние Печеры и увеличить объем продаж путем привлечения потенциальных покупателей, как данного микрорайона, так и д. </w:t>
      </w:r>
      <w:proofErr w:type="spellStart"/>
      <w:r w:rsidRPr="001E25CD">
        <w:rPr>
          <w:rFonts w:ascii="Georgia" w:eastAsia="Times New Roman" w:hAnsi="Georgia" w:cs="Times New Roman"/>
          <w:color w:val="000000"/>
          <w:sz w:val="24"/>
          <w:szCs w:val="24"/>
          <w:lang w:bidi="ar-SA"/>
        </w:rPr>
        <w:t>Афонино</w:t>
      </w:r>
      <w:proofErr w:type="spellEnd"/>
      <w:r w:rsidRPr="001E25CD">
        <w:rPr>
          <w:rFonts w:ascii="Georgia" w:eastAsia="Times New Roman" w:hAnsi="Georgia" w:cs="Times New Roman"/>
          <w:color w:val="000000"/>
          <w:sz w:val="24"/>
          <w:szCs w:val="24"/>
          <w:lang w:bidi="ar-SA"/>
        </w:rPr>
        <w:t>. В этом районе очень много новостроек и, как следствие, людей, желающих приобрести мебель. При освоении этого рынка фирма будет делать упор на цены более низкие, чем у конкурентов, и на бесплатную доставку.</w:t>
      </w:r>
    </w:p>
    <w:p w14:paraId="2E455F08"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Ценообразование в ООО «Сентябрь» основывается на принципе покрытия издержек стоимостью продукта. В связи с тем, что компания будет реализовывать продукцию без торговой наценки через свой магазин, цены на мебель будут в среднем на 10% меньше, чем цены конкурентов. Фирма не собирается закладывать в цену продукции высокую норму прибыли, стараясь сохранить цены ниже, чем у конкурентов. Фирма ожидает увеличения объема прибыли за счет увеличения объема реализации.</w:t>
      </w:r>
    </w:p>
    <w:p w14:paraId="365B7359"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Для того, чтобы привлечь покупателей в свои магазины предполагается провести следующие мероприятия.</w:t>
      </w:r>
    </w:p>
    <w:p w14:paraId="6D64F512"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Необходимо правильно демонстрировать продукцию покупателю. Торговый зал будет разбит на зоны по назначению продаваемых товаров. Такой формат, с одной стороны, снизит потребности в площади торгового зала, а с другой – позволит покупателю быстро найти необходимую группу товаров и выбрать нужный.</w:t>
      </w:r>
    </w:p>
    <w:p w14:paraId="551AA847"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Сбыт, прежде всего, гарантируется постоянным спросом на выбранные группы товаров, удобным месторасположением торговой точки, быстротой обслуживания и профессионализмом сотрудников.</w:t>
      </w:r>
    </w:p>
    <w:p w14:paraId="7AB685A1"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Использование рекламы также является неотъемлемым аспектом деятельности при открытии нового салона мебели.</w:t>
      </w:r>
    </w:p>
    <w:p w14:paraId="4731698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Главной целью рекламы на первом этапе является информирование потенциальных потребителей о вновь создаваемой фирме.</w:t>
      </w:r>
    </w:p>
    <w:p w14:paraId="4DAA1338"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Будет использована радиореклама на «Русском Радио» и радиостанции и «Европа Плюс».</w:t>
      </w:r>
    </w:p>
    <w:p w14:paraId="10B02782"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Будет полезным также в качестве дополнительной меры подготовить и распространить рекламные листовки возле крупных мебельных магазинов и строительных рынков.</w:t>
      </w:r>
    </w:p>
    <w:p w14:paraId="50E869BC"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Необходимо осуществлять последовательное обучение продавцов-консультантов. Именно они во многом влияют на решение о покупке. Для этого необходимо разработать тренинг-семинар по продажам. Внутри фабрики создается </w:t>
      </w:r>
      <w:r w:rsidRPr="001E25CD">
        <w:rPr>
          <w:rFonts w:ascii="Georgia" w:eastAsia="Times New Roman" w:hAnsi="Georgia" w:cs="Times New Roman"/>
          <w:color w:val="000000"/>
          <w:sz w:val="24"/>
          <w:szCs w:val="24"/>
          <w:lang w:bidi="ar-SA"/>
        </w:rPr>
        <w:lastRenderedPageBreak/>
        <w:t>проектная команда тренеров (с отделов НИОКР, продаж и маркетинга), которая несколько раз в квартал проводит семинары, обучает новым приемам продажи, и информирует об конкурентных особенностях новых серий.</w:t>
      </w:r>
    </w:p>
    <w:p w14:paraId="7F2D4462"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Организовать конкурс «лучший продавец внутри сети».</w:t>
      </w:r>
    </w:p>
    <w:p w14:paraId="06A563CF"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Наладить сотрудничество с дизайнерскими бюро и салонами интерьера. Организовать семинары по применению мебели фабрики в разных интерьерах.</w:t>
      </w:r>
    </w:p>
    <w:p w14:paraId="11F2A79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Организовать </w:t>
      </w:r>
      <w:proofErr w:type="spellStart"/>
      <w:r w:rsidRPr="001E25CD">
        <w:rPr>
          <w:rFonts w:ascii="Georgia" w:eastAsia="Times New Roman" w:hAnsi="Georgia" w:cs="Times New Roman"/>
          <w:color w:val="000000"/>
          <w:sz w:val="24"/>
          <w:szCs w:val="24"/>
          <w:lang w:bidi="ar-SA"/>
        </w:rPr>
        <w:t>промоакции</w:t>
      </w:r>
      <w:proofErr w:type="spellEnd"/>
      <w:r w:rsidRPr="001E25CD">
        <w:rPr>
          <w:rFonts w:ascii="Georgia" w:eastAsia="Times New Roman" w:hAnsi="Georgia" w:cs="Times New Roman"/>
          <w:color w:val="000000"/>
          <w:sz w:val="24"/>
          <w:szCs w:val="24"/>
          <w:lang w:bidi="ar-SA"/>
        </w:rPr>
        <w:t xml:space="preserve"> в больших мебельных центрах и строительных сетях, в местах скопления торговых площадей конкурентов.</w:t>
      </w:r>
    </w:p>
    <w:p w14:paraId="2513DF7D"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Производить полугодовую ротацию ассортимента в городе (покрытие торговых площадей в городе всем ассортиментом и его смещение по магазинам).</w:t>
      </w:r>
    </w:p>
    <w:p w14:paraId="0671888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Необходимо организовать интернет-магазин, отражающий качественно весь ассортимент фабрики, с описанием всех сравниваемых в процессе покупки покупателем характеристик, и работающим на территории, где есть собственные магазины.</w:t>
      </w:r>
    </w:p>
    <w:p w14:paraId="4C8EFC14"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Отметим, что продвижения магазина мебели ООО «Сентябрь» будет осуществляться в условиях посткризисной экономики. Это оказало влияние на то, какие мероприятия по его продвижению были выбраны. Во-первых, для ООО «Сентябрь» было важно минимизировать средства, потраченные на данную кампанию. Во-вторых, особое внимание при создании рекламных сообщений было уделено цене. В современных условиях фактор цены является для покупателя определяющим. Именно поэтому был сделан особый акцент на возможность получения скидок, бонусов при покупке мебели в салоне ООО «Сентябрь».</w:t>
      </w:r>
    </w:p>
    <w:p w14:paraId="24697A1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 данном этапе развития компании более никакие маркетинговые действия не планируются, однако в дальнейшем компания будет использовать и иные маркетинговые мероприятия с целью привлечения новых клиентов.</w:t>
      </w:r>
    </w:p>
    <w:p w14:paraId="7D7D6A44" w14:textId="4D87E988"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r w:rsidRPr="001E25CD">
        <w:rPr>
          <w:rFonts w:ascii="Georgia" w:eastAsia="Times New Roman" w:hAnsi="Georgia" w:cs="Times New Roman"/>
          <w:b/>
          <w:bCs/>
          <w:color w:val="000000"/>
          <w:sz w:val="24"/>
          <w:szCs w:val="24"/>
          <w:lang w:bidi="ar-SA"/>
        </w:rPr>
        <w:t>Финансовый план</w:t>
      </w:r>
    </w:p>
    <w:p w14:paraId="4F62AF7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Экономическое состояние ООО «Сентябрь» характеризуется как стабильное.</w:t>
      </w:r>
    </w:p>
    <w:p w14:paraId="17F205F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Так, ООО «Сентябрь» имеет продолжительную кредитную историю, все обязательства по кредитным договорам выполняются в полном объеме и установленный срок.</w:t>
      </w:r>
    </w:p>
    <w:p w14:paraId="3ADC25EE"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 течение 2005-2009г.г. клиент пользовался большим количеством разнообразных кредитов, что было вызвано необходимостью организации производства мебели. Детализация представлена в приложении 8.</w:t>
      </w:r>
    </w:p>
    <w:p w14:paraId="2AA7FAB2"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Ссудная задолженность ООО «Сентябрь» на 01.10.2009г. представлена в приложении 9.</w:t>
      </w:r>
    </w:p>
    <w:p w14:paraId="0949535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Также на 01.10.09г. действует 21 договор займа с юридическими и физическими лицами, задолженность по которым составляет 4363 тыс. руб.</w:t>
      </w:r>
    </w:p>
    <w:p w14:paraId="5D0EC77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 настоящее время Предприятие имеет расчетные счета в ОАО АКБ «</w:t>
      </w:r>
      <w:proofErr w:type="spellStart"/>
      <w:r w:rsidRPr="001E25CD">
        <w:rPr>
          <w:rFonts w:ascii="Georgia" w:eastAsia="Times New Roman" w:hAnsi="Georgia" w:cs="Times New Roman"/>
          <w:color w:val="000000"/>
          <w:sz w:val="24"/>
          <w:szCs w:val="24"/>
          <w:lang w:bidi="ar-SA"/>
        </w:rPr>
        <w:t>Саровбизнесбанк</w:t>
      </w:r>
      <w:proofErr w:type="spellEnd"/>
      <w:r w:rsidRPr="001E25CD">
        <w:rPr>
          <w:rFonts w:ascii="Georgia" w:eastAsia="Times New Roman" w:hAnsi="Georgia" w:cs="Times New Roman"/>
          <w:color w:val="000000"/>
          <w:sz w:val="24"/>
          <w:szCs w:val="24"/>
          <w:lang w:bidi="ar-SA"/>
        </w:rPr>
        <w:t>», Нижегородский филиал ОАО «ВТБ», ЗАО «ВОКБАНК», Нижегородский филиал ОАО «Ак Барс» Банк и Нижегородский филиал ОАО «Банк ЗЕНИТ». Обороты по счетам ООО «Сентябрь» представлены в таблице 5.</w:t>
      </w:r>
    </w:p>
    <w:p w14:paraId="1B06BCB5" w14:textId="77777777" w:rsidR="001E25CD" w:rsidRPr="001E25CD" w:rsidRDefault="001E25CD" w:rsidP="001E25CD">
      <w:pPr>
        <w:widowControl/>
        <w:shd w:val="clear" w:color="auto" w:fill="FFFFFF"/>
        <w:autoSpaceDE/>
        <w:autoSpaceDN/>
        <w:spacing w:before="100" w:beforeAutospacing="1" w:line="360" w:lineRule="atLeast"/>
        <w:ind w:firstLine="709"/>
        <w:jc w:val="righ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Таблица 5</w:t>
      </w:r>
    </w:p>
    <w:p w14:paraId="6C822020" w14:textId="77777777"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Обороты по счетам ООО «Сентябрь» за 2009г.</w:t>
      </w:r>
    </w:p>
    <w:tbl>
      <w:tblPr>
        <w:tblW w:w="10332" w:type="dxa"/>
        <w:tblCellSpacing w:w="0" w:type="dxa"/>
        <w:tblInd w:w="15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613"/>
        <w:gridCol w:w="1340"/>
        <w:gridCol w:w="1843"/>
        <w:gridCol w:w="1431"/>
        <w:gridCol w:w="1687"/>
        <w:gridCol w:w="1418"/>
      </w:tblGrid>
      <w:tr w:rsidR="00652596" w:rsidRPr="001E25CD" w14:paraId="0E489324" w14:textId="77777777" w:rsidTr="00652596">
        <w:trPr>
          <w:tblCellSpacing w:w="0" w:type="dxa"/>
        </w:trPr>
        <w:tc>
          <w:tcPr>
            <w:tcW w:w="2613" w:type="dxa"/>
            <w:tcBorders>
              <w:top w:val="outset" w:sz="6" w:space="0" w:color="000000"/>
              <w:left w:val="outset" w:sz="6" w:space="0" w:color="000000"/>
              <w:bottom w:val="outset" w:sz="6" w:space="0" w:color="000000"/>
              <w:right w:val="outset" w:sz="6" w:space="0" w:color="000000"/>
            </w:tcBorders>
            <w:shd w:val="clear" w:color="auto" w:fill="FFFFFF"/>
            <w:hideMark/>
          </w:tcPr>
          <w:p w14:paraId="57176A8D"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i/>
                <w:iCs/>
                <w:sz w:val="18"/>
                <w:szCs w:val="18"/>
                <w:lang w:bidi="ar-SA"/>
              </w:rPr>
              <w:t>Банк</w:t>
            </w:r>
          </w:p>
        </w:tc>
        <w:tc>
          <w:tcPr>
            <w:tcW w:w="1340" w:type="dxa"/>
            <w:tcBorders>
              <w:top w:val="outset" w:sz="6" w:space="0" w:color="000000"/>
              <w:left w:val="outset" w:sz="6" w:space="0" w:color="000000"/>
              <w:bottom w:val="outset" w:sz="6" w:space="0" w:color="000000"/>
              <w:right w:val="outset" w:sz="6" w:space="0" w:color="000000"/>
            </w:tcBorders>
            <w:shd w:val="clear" w:color="auto" w:fill="FFFFFF"/>
            <w:hideMark/>
          </w:tcPr>
          <w:p w14:paraId="385F9809"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май</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14:paraId="465871ED"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июнь</w:t>
            </w:r>
          </w:p>
        </w:tc>
        <w:tc>
          <w:tcPr>
            <w:tcW w:w="1431" w:type="dxa"/>
            <w:tcBorders>
              <w:top w:val="outset" w:sz="6" w:space="0" w:color="000000"/>
              <w:left w:val="outset" w:sz="6" w:space="0" w:color="000000"/>
              <w:bottom w:val="outset" w:sz="6" w:space="0" w:color="000000"/>
              <w:right w:val="outset" w:sz="6" w:space="0" w:color="000000"/>
            </w:tcBorders>
            <w:shd w:val="clear" w:color="auto" w:fill="FFFFFF"/>
            <w:hideMark/>
          </w:tcPr>
          <w:p w14:paraId="4A177713"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июль</w:t>
            </w:r>
          </w:p>
        </w:tc>
        <w:tc>
          <w:tcPr>
            <w:tcW w:w="1687" w:type="dxa"/>
            <w:tcBorders>
              <w:top w:val="outset" w:sz="6" w:space="0" w:color="000000"/>
              <w:left w:val="outset" w:sz="6" w:space="0" w:color="000000"/>
              <w:bottom w:val="outset" w:sz="6" w:space="0" w:color="000000"/>
              <w:right w:val="outset" w:sz="6" w:space="0" w:color="000000"/>
            </w:tcBorders>
            <w:shd w:val="clear" w:color="auto" w:fill="FFFFFF"/>
            <w:hideMark/>
          </w:tcPr>
          <w:p w14:paraId="013FF5EA" w14:textId="77777777" w:rsidR="001E25CD" w:rsidRPr="001E25CD" w:rsidRDefault="001E25CD" w:rsidP="001E25CD">
            <w:pPr>
              <w:widowControl/>
              <w:autoSpaceDE/>
              <w:autoSpaceDN/>
              <w:spacing w:before="100" w:beforeAutospacing="1" w:after="100" w:afterAutospacing="1"/>
              <w:ind w:right="43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август</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14:paraId="0DC9B59A"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сентябрь</w:t>
            </w:r>
          </w:p>
        </w:tc>
      </w:tr>
      <w:tr w:rsidR="00652596" w:rsidRPr="001E25CD" w14:paraId="6D8C4D08" w14:textId="77777777" w:rsidTr="00652596">
        <w:trPr>
          <w:tblCellSpacing w:w="0" w:type="dxa"/>
        </w:trPr>
        <w:tc>
          <w:tcPr>
            <w:tcW w:w="2613" w:type="dxa"/>
            <w:tcBorders>
              <w:top w:val="outset" w:sz="6" w:space="0" w:color="000000"/>
              <w:left w:val="outset" w:sz="6" w:space="0" w:color="000000"/>
              <w:bottom w:val="outset" w:sz="6" w:space="0" w:color="000000"/>
              <w:right w:val="outset" w:sz="6" w:space="0" w:color="000000"/>
            </w:tcBorders>
            <w:shd w:val="clear" w:color="auto" w:fill="FFFFFF"/>
            <w:hideMark/>
          </w:tcPr>
          <w:p w14:paraId="114181EB"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ЗАО «ВОКБАНК»</w:t>
            </w:r>
          </w:p>
        </w:tc>
        <w:tc>
          <w:tcPr>
            <w:tcW w:w="1340" w:type="dxa"/>
            <w:tcBorders>
              <w:top w:val="outset" w:sz="6" w:space="0" w:color="000000"/>
              <w:left w:val="outset" w:sz="6" w:space="0" w:color="000000"/>
              <w:bottom w:val="outset" w:sz="6" w:space="0" w:color="000000"/>
              <w:right w:val="outset" w:sz="6" w:space="0" w:color="000000"/>
            </w:tcBorders>
            <w:shd w:val="clear" w:color="auto" w:fill="FFFFFF"/>
            <w:hideMark/>
          </w:tcPr>
          <w:p w14:paraId="1921C830"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70 610,00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14:paraId="400990E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4 350 000,00</w:t>
            </w:r>
          </w:p>
        </w:tc>
        <w:tc>
          <w:tcPr>
            <w:tcW w:w="1431" w:type="dxa"/>
            <w:tcBorders>
              <w:top w:val="outset" w:sz="6" w:space="0" w:color="000000"/>
              <w:left w:val="outset" w:sz="6" w:space="0" w:color="000000"/>
              <w:bottom w:val="outset" w:sz="6" w:space="0" w:color="000000"/>
              <w:right w:val="outset" w:sz="6" w:space="0" w:color="000000"/>
            </w:tcBorders>
            <w:shd w:val="clear" w:color="auto" w:fill="FFFFFF"/>
            <w:hideMark/>
          </w:tcPr>
          <w:p w14:paraId="4A0987C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 477 400,00</w:t>
            </w:r>
          </w:p>
        </w:tc>
        <w:tc>
          <w:tcPr>
            <w:tcW w:w="1687" w:type="dxa"/>
            <w:tcBorders>
              <w:top w:val="outset" w:sz="6" w:space="0" w:color="000000"/>
              <w:left w:val="outset" w:sz="6" w:space="0" w:color="000000"/>
              <w:bottom w:val="outset" w:sz="6" w:space="0" w:color="000000"/>
              <w:right w:val="outset" w:sz="6" w:space="0" w:color="000000"/>
            </w:tcBorders>
            <w:shd w:val="clear" w:color="auto" w:fill="FFFFFF"/>
            <w:hideMark/>
          </w:tcPr>
          <w:p w14:paraId="6AAA13B6"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2 951 000,00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14:paraId="19C31F16"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100 000,00</w:t>
            </w:r>
          </w:p>
        </w:tc>
      </w:tr>
      <w:tr w:rsidR="00652596" w:rsidRPr="001E25CD" w14:paraId="32FD2A51" w14:textId="77777777" w:rsidTr="00652596">
        <w:trPr>
          <w:tblCellSpacing w:w="0" w:type="dxa"/>
        </w:trPr>
        <w:tc>
          <w:tcPr>
            <w:tcW w:w="2613" w:type="dxa"/>
            <w:tcBorders>
              <w:top w:val="outset" w:sz="6" w:space="0" w:color="000000"/>
              <w:left w:val="outset" w:sz="6" w:space="0" w:color="000000"/>
              <w:bottom w:val="outset" w:sz="6" w:space="0" w:color="000000"/>
              <w:right w:val="outset" w:sz="6" w:space="0" w:color="000000"/>
            </w:tcBorders>
            <w:shd w:val="clear" w:color="auto" w:fill="FFFFFF"/>
            <w:hideMark/>
          </w:tcPr>
          <w:p w14:paraId="3A741508"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НФ ОАО «ВТБ»</w:t>
            </w:r>
          </w:p>
        </w:tc>
        <w:tc>
          <w:tcPr>
            <w:tcW w:w="1340" w:type="dxa"/>
            <w:tcBorders>
              <w:top w:val="outset" w:sz="6" w:space="0" w:color="000000"/>
              <w:left w:val="outset" w:sz="6" w:space="0" w:color="000000"/>
              <w:bottom w:val="outset" w:sz="6" w:space="0" w:color="000000"/>
              <w:right w:val="outset" w:sz="6" w:space="0" w:color="000000"/>
            </w:tcBorders>
            <w:shd w:val="clear" w:color="auto" w:fill="FFFFFF"/>
            <w:hideMark/>
          </w:tcPr>
          <w:p w14:paraId="1257A7C1"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14:paraId="47CB5468"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w:t>
            </w:r>
          </w:p>
        </w:tc>
        <w:tc>
          <w:tcPr>
            <w:tcW w:w="1431" w:type="dxa"/>
            <w:tcBorders>
              <w:top w:val="outset" w:sz="6" w:space="0" w:color="000000"/>
              <w:left w:val="outset" w:sz="6" w:space="0" w:color="000000"/>
              <w:bottom w:val="outset" w:sz="6" w:space="0" w:color="000000"/>
              <w:right w:val="outset" w:sz="6" w:space="0" w:color="000000"/>
            </w:tcBorders>
            <w:shd w:val="clear" w:color="auto" w:fill="FFFFFF"/>
            <w:hideMark/>
          </w:tcPr>
          <w:p w14:paraId="5E71E396"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w:t>
            </w:r>
          </w:p>
        </w:tc>
        <w:tc>
          <w:tcPr>
            <w:tcW w:w="1687" w:type="dxa"/>
            <w:tcBorders>
              <w:top w:val="outset" w:sz="6" w:space="0" w:color="000000"/>
              <w:left w:val="outset" w:sz="6" w:space="0" w:color="000000"/>
              <w:bottom w:val="outset" w:sz="6" w:space="0" w:color="000000"/>
              <w:right w:val="outset" w:sz="6" w:space="0" w:color="000000"/>
            </w:tcBorders>
            <w:shd w:val="clear" w:color="auto" w:fill="FFFFFF"/>
            <w:hideMark/>
          </w:tcPr>
          <w:p w14:paraId="5234C81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14:paraId="4DEDB31C"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w:t>
            </w:r>
          </w:p>
        </w:tc>
      </w:tr>
      <w:tr w:rsidR="00652596" w:rsidRPr="001E25CD" w14:paraId="51680CF0" w14:textId="77777777" w:rsidTr="00652596">
        <w:trPr>
          <w:tblCellSpacing w:w="0" w:type="dxa"/>
        </w:trPr>
        <w:tc>
          <w:tcPr>
            <w:tcW w:w="2613" w:type="dxa"/>
            <w:tcBorders>
              <w:top w:val="outset" w:sz="6" w:space="0" w:color="000000"/>
              <w:left w:val="outset" w:sz="6" w:space="0" w:color="000000"/>
              <w:bottom w:val="outset" w:sz="6" w:space="0" w:color="000000"/>
              <w:right w:val="outset" w:sz="6" w:space="0" w:color="000000"/>
            </w:tcBorders>
            <w:shd w:val="clear" w:color="auto" w:fill="FFFFFF"/>
            <w:hideMark/>
          </w:tcPr>
          <w:p w14:paraId="354D238B"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ОАО АКБ «</w:t>
            </w:r>
            <w:proofErr w:type="spellStart"/>
            <w:r w:rsidRPr="001E25CD">
              <w:rPr>
                <w:rFonts w:ascii="Georgia" w:eastAsia="Times New Roman" w:hAnsi="Georgia" w:cs="Times New Roman"/>
                <w:sz w:val="18"/>
                <w:szCs w:val="18"/>
                <w:lang w:bidi="ar-SA"/>
              </w:rPr>
              <w:t>Саровбизнесбанк</w:t>
            </w:r>
            <w:proofErr w:type="spellEnd"/>
            <w:r w:rsidRPr="001E25CD">
              <w:rPr>
                <w:rFonts w:ascii="Georgia" w:eastAsia="Times New Roman" w:hAnsi="Georgia" w:cs="Times New Roman"/>
                <w:sz w:val="18"/>
                <w:szCs w:val="18"/>
                <w:lang w:bidi="ar-SA"/>
              </w:rPr>
              <w:t>»</w:t>
            </w:r>
          </w:p>
        </w:tc>
        <w:tc>
          <w:tcPr>
            <w:tcW w:w="1340" w:type="dxa"/>
            <w:tcBorders>
              <w:top w:val="outset" w:sz="6" w:space="0" w:color="000000"/>
              <w:left w:val="outset" w:sz="6" w:space="0" w:color="000000"/>
              <w:bottom w:val="outset" w:sz="6" w:space="0" w:color="000000"/>
              <w:right w:val="outset" w:sz="6" w:space="0" w:color="000000"/>
            </w:tcBorders>
            <w:shd w:val="clear" w:color="auto" w:fill="FFFFFF"/>
            <w:hideMark/>
          </w:tcPr>
          <w:p w14:paraId="6B595539"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2 926 122,07</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14:paraId="5D2761B8"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2 246 129,07</w:t>
            </w:r>
          </w:p>
        </w:tc>
        <w:tc>
          <w:tcPr>
            <w:tcW w:w="1431" w:type="dxa"/>
            <w:tcBorders>
              <w:top w:val="outset" w:sz="6" w:space="0" w:color="000000"/>
              <w:left w:val="outset" w:sz="6" w:space="0" w:color="000000"/>
              <w:bottom w:val="outset" w:sz="6" w:space="0" w:color="000000"/>
              <w:right w:val="outset" w:sz="6" w:space="0" w:color="000000"/>
            </w:tcBorders>
            <w:shd w:val="clear" w:color="auto" w:fill="FFFFFF"/>
            <w:hideMark/>
          </w:tcPr>
          <w:p w14:paraId="4ADCACFB"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18 806 280,39</w:t>
            </w:r>
          </w:p>
        </w:tc>
        <w:tc>
          <w:tcPr>
            <w:tcW w:w="1687" w:type="dxa"/>
            <w:tcBorders>
              <w:top w:val="outset" w:sz="6" w:space="0" w:color="000000"/>
              <w:left w:val="outset" w:sz="6" w:space="0" w:color="000000"/>
              <w:bottom w:val="outset" w:sz="6" w:space="0" w:color="000000"/>
              <w:right w:val="outset" w:sz="6" w:space="0" w:color="000000"/>
            </w:tcBorders>
            <w:shd w:val="clear" w:color="auto" w:fill="FFFFFF"/>
            <w:hideMark/>
          </w:tcPr>
          <w:p w14:paraId="0EE4EA8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582 375,51</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14:paraId="7F072D76"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968 834,45</w:t>
            </w:r>
          </w:p>
        </w:tc>
      </w:tr>
      <w:tr w:rsidR="00652596" w:rsidRPr="001E25CD" w14:paraId="1F3D9D17" w14:textId="77777777" w:rsidTr="00652596">
        <w:trPr>
          <w:tblCellSpacing w:w="0" w:type="dxa"/>
        </w:trPr>
        <w:tc>
          <w:tcPr>
            <w:tcW w:w="2613" w:type="dxa"/>
            <w:tcBorders>
              <w:top w:val="outset" w:sz="6" w:space="0" w:color="000000"/>
              <w:left w:val="outset" w:sz="6" w:space="0" w:color="000000"/>
              <w:bottom w:val="outset" w:sz="6" w:space="0" w:color="000000"/>
              <w:right w:val="outset" w:sz="6" w:space="0" w:color="000000"/>
            </w:tcBorders>
            <w:shd w:val="clear" w:color="auto" w:fill="FFFFFF"/>
            <w:hideMark/>
          </w:tcPr>
          <w:p w14:paraId="1FC543CF"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НФ АКБ «АК БАРС БАНК»</w:t>
            </w:r>
          </w:p>
        </w:tc>
        <w:tc>
          <w:tcPr>
            <w:tcW w:w="1340" w:type="dxa"/>
            <w:tcBorders>
              <w:top w:val="outset" w:sz="6" w:space="0" w:color="000000"/>
              <w:left w:val="outset" w:sz="6" w:space="0" w:color="000000"/>
              <w:bottom w:val="outset" w:sz="6" w:space="0" w:color="000000"/>
              <w:right w:val="outset" w:sz="6" w:space="0" w:color="000000"/>
            </w:tcBorders>
            <w:shd w:val="clear" w:color="auto" w:fill="FFFFFF"/>
            <w:hideMark/>
          </w:tcPr>
          <w:p w14:paraId="6DC70FE6"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 898 000,00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14:paraId="08B9D12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 658 232,16</w:t>
            </w:r>
          </w:p>
        </w:tc>
        <w:tc>
          <w:tcPr>
            <w:tcW w:w="1431" w:type="dxa"/>
            <w:tcBorders>
              <w:top w:val="outset" w:sz="6" w:space="0" w:color="000000"/>
              <w:left w:val="outset" w:sz="6" w:space="0" w:color="000000"/>
              <w:bottom w:val="outset" w:sz="6" w:space="0" w:color="000000"/>
              <w:right w:val="outset" w:sz="6" w:space="0" w:color="000000"/>
            </w:tcBorders>
            <w:shd w:val="clear" w:color="auto" w:fill="FFFFFF"/>
            <w:hideMark/>
          </w:tcPr>
          <w:p w14:paraId="5B98D274"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7 231 000,00</w:t>
            </w:r>
          </w:p>
        </w:tc>
        <w:tc>
          <w:tcPr>
            <w:tcW w:w="1687" w:type="dxa"/>
            <w:tcBorders>
              <w:top w:val="outset" w:sz="6" w:space="0" w:color="000000"/>
              <w:left w:val="outset" w:sz="6" w:space="0" w:color="000000"/>
              <w:bottom w:val="outset" w:sz="6" w:space="0" w:color="000000"/>
              <w:right w:val="outset" w:sz="6" w:space="0" w:color="000000"/>
            </w:tcBorders>
            <w:shd w:val="clear" w:color="auto" w:fill="FFFFFF"/>
            <w:hideMark/>
          </w:tcPr>
          <w:p w14:paraId="10CE8276"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7 229,59</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14:paraId="5D6FA5EF"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36 766,69</w:t>
            </w:r>
          </w:p>
        </w:tc>
      </w:tr>
      <w:tr w:rsidR="00652596" w:rsidRPr="001E25CD" w14:paraId="117D8E19" w14:textId="77777777" w:rsidTr="00652596">
        <w:trPr>
          <w:tblCellSpacing w:w="0" w:type="dxa"/>
        </w:trPr>
        <w:tc>
          <w:tcPr>
            <w:tcW w:w="2613" w:type="dxa"/>
            <w:tcBorders>
              <w:top w:val="outset" w:sz="6" w:space="0" w:color="000000"/>
              <w:left w:val="outset" w:sz="6" w:space="0" w:color="000000"/>
              <w:bottom w:val="outset" w:sz="6" w:space="0" w:color="000000"/>
              <w:right w:val="outset" w:sz="6" w:space="0" w:color="000000"/>
            </w:tcBorders>
            <w:shd w:val="clear" w:color="auto" w:fill="FFFFFF"/>
            <w:hideMark/>
          </w:tcPr>
          <w:p w14:paraId="19C037FA"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НФ ОАО «Банк ЗЕНИТ»</w:t>
            </w:r>
          </w:p>
        </w:tc>
        <w:tc>
          <w:tcPr>
            <w:tcW w:w="1340" w:type="dxa"/>
            <w:tcBorders>
              <w:top w:val="outset" w:sz="6" w:space="0" w:color="000000"/>
              <w:left w:val="outset" w:sz="6" w:space="0" w:color="000000"/>
              <w:bottom w:val="outset" w:sz="6" w:space="0" w:color="000000"/>
              <w:right w:val="outset" w:sz="6" w:space="0" w:color="000000"/>
            </w:tcBorders>
            <w:shd w:val="clear" w:color="auto" w:fill="FFFFFF"/>
            <w:hideMark/>
          </w:tcPr>
          <w:p w14:paraId="7E302345"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w:t>
            </w:r>
          </w:p>
        </w:tc>
        <w:tc>
          <w:tcPr>
            <w:tcW w:w="1843" w:type="dxa"/>
            <w:tcBorders>
              <w:top w:val="outset" w:sz="6" w:space="0" w:color="000000"/>
              <w:left w:val="outset" w:sz="6" w:space="0" w:color="000000"/>
              <w:bottom w:val="outset" w:sz="6" w:space="0" w:color="000000"/>
              <w:right w:val="outset" w:sz="6" w:space="0" w:color="000000"/>
            </w:tcBorders>
            <w:shd w:val="clear" w:color="auto" w:fill="FFFFFF"/>
            <w:hideMark/>
          </w:tcPr>
          <w:p w14:paraId="17C609C7"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15 703 000,00</w:t>
            </w:r>
          </w:p>
        </w:tc>
        <w:tc>
          <w:tcPr>
            <w:tcW w:w="1431" w:type="dxa"/>
            <w:tcBorders>
              <w:top w:val="outset" w:sz="6" w:space="0" w:color="000000"/>
              <w:left w:val="outset" w:sz="6" w:space="0" w:color="000000"/>
              <w:bottom w:val="outset" w:sz="6" w:space="0" w:color="000000"/>
              <w:right w:val="outset" w:sz="6" w:space="0" w:color="000000"/>
            </w:tcBorders>
            <w:shd w:val="clear" w:color="auto" w:fill="FFFFFF"/>
            <w:hideMark/>
          </w:tcPr>
          <w:p w14:paraId="2371C693"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16 674 225,00</w:t>
            </w:r>
          </w:p>
        </w:tc>
        <w:tc>
          <w:tcPr>
            <w:tcW w:w="1687" w:type="dxa"/>
            <w:tcBorders>
              <w:top w:val="outset" w:sz="6" w:space="0" w:color="000000"/>
              <w:left w:val="outset" w:sz="6" w:space="0" w:color="000000"/>
              <w:bottom w:val="outset" w:sz="6" w:space="0" w:color="000000"/>
              <w:right w:val="outset" w:sz="6" w:space="0" w:color="000000"/>
            </w:tcBorders>
            <w:shd w:val="clear" w:color="auto" w:fill="FFFFFF"/>
            <w:hideMark/>
          </w:tcPr>
          <w:p w14:paraId="5EDBC07B" w14:textId="77777777" w:rsidR="001E25CD" w:rsidRPr="001E25CD" w:rsidRDefault="001E25CD" w:rsidP="001E25CD">
            <w:pPr>
              <w:widowControl/>
              <w:autoSpaceDE/>
              <w:autoSpaceDN/>
              <w:spacing w:before="100" w:beforeAutospacing="1" w:after="100" w:afterAutospacing="1"/>
              <w:jc w:val="center"/>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18 765 113,15</w:t>
            </w:r>
          </w:p>
        </w:tc>
        <w:tc>
          <w:tcPr>
            <w:tcW w:w="1418" w:type="dxa"/>
            <w:tcBorders>
              <w:top w:val="outset" w:sz="6" w:space="0" w:color="000000"/>
              <w:left w:val="outset" w:sz="6" w:space="0" w:color="000000"/>
              <w:bottom w:val="outset" w:sz="6" w:space="0" w:color="000000"/>
              <w:right w:val="outset" w:sz="6" w:space="0" w:color="000000"/>
            </w:tcBorders>
            <w:shd w:val="clear" w:color="auto" w:fill="FFFFFF"/>
            <w:hideMark/>
          </w:tcPr>
          <w:p w14:paraId="2F7408AC" w14:textId="77777777" w:rsidR="001E25CD" w:rsidRPr="001E25CD" w:rsidRDefault="001E25CD" w:rsidP="001E25CD">
            <w:pPr>
              <w:widowControl/>
              <w:autoSpaceDE/>
              <w:autoSpaceDN/>
              <w:spacing w:before="100" w:beforeAutospacing="1" w:after="100" w:afterAutospacing="1"/>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12 709 849,77</w:t>
            </w:r>
          </w:p>
        </w:tc>
      </w:tr>
    </w:tbl>
    <w:p w14:paraId="18C0FFDE"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Анализ финансового состояния произведен на основании бухгалтерской отчетности по состоянию на 01.01.2009г., 01.04.2009г., 01.07.2009г. и 01.10.2009г.</w:t>
      </w:r>
    </w:p>
    <w:p w14:paraId="3F24B6A0"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Активы предприятия в основном представлены основными средствами, а также доходными вложениями в материальные ценности.</w:t>
      </w:r>
    </w:p>
    <w:p w14:paraId="7E7EDCD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Дебиторская задолженность ООО «Сентябрь» с начала года увеличилась в 3,6 раза и составляет 68 793 тыс. руб. Доля в ВБ увеличилась с 26% до 31 %.</w:t>
      </w:r>
    </w:p>
    <w:p w14:paraId="63EAC6DF"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Задолженность текущая, просроченной задолженности нет.</w:t>
      </w:r>
    </w:p>
    <w:p w14:paraId="40DC3DA4"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 изменение структуры баланса в большей степени повлиял рост величины дебиторской задолженности, а также такой статьи как доходные вложения в мат. ценности.</w:t>
      </w:r>
    </w:p>
    <w:p w14:paraId="5C35943E"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Предприятие обладает собственным оборотным капиталом в размере 196 001 тыс. руб. или 13 % оборотных средств, что положительно характеризует финансовое положение ООО «Сентябрь».</w:t>
      </w:r>
    </w:p>
    <w:p w14:paraId="0E84FC4C"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Пассивы ООО «Сентябрь» сформированы за счет собственных средств на 13 % и за счет заемных средств на 31 % ВБ краткосрочные обязательства и 56 % долгосрочные обязательства. Собственный капитал состоит почти в равных долях из капитала и </w:t>
      </w:r>
      <w:r w:rsidRPr="001E25CD">
        <w:rPr>
          <w:rFonts w:ascii="Georgia" w:eastAsia="Times New Roman" w:hAnsi="Georgia" w:cs="Times New Roman"/>
          <w:color w:val="000000"/>
          <w:sz w:val="24"/>
          <w:szCs w:val="24"/>
          <w:lang w:bidi="ar-SA"/>
        </w:rPr>
        <w:lastRenderedPageBreak/>
        <w:t>нераспределенной прибыли, абсолютная величина которой выросла с начала года на 20 168 тыс. руб.</w:t>
      </w:r>
    </w:p>
    <w:p w14:paraId="1ECFA70F"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 начала года произошло увеличение кредиторской задолженности почти в 3 раза в основном за счет авансовых платежей по лизинговым операциям, которые составили 276 341 тыс. рублей (20 % ВБ).</w:t>
      </w:r>
    </w:p>
    <w:p w14:paraId="1F48ADD0"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Просроченной задолженности нет. Задолженность перед персоналом отсутствует, задолженность перед бюджетом составляет около 0,2% в ВБ.</w:t>
      </w:r>
    </w:p>
    <w:p w14:paraId="4240C35A"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Структура пассивов за текущий год изменилась, несколько снизилась доля в ВБ собственного капитала. На рост пассивов повлияло увеличение долгосрочных и краткосрочных обязательств, которые представлены в основном кредитами и займами.</w:t>
      </w:r>
    </w:p>
    <w:p w14:paraId="499335C7"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Выручка от реализации товаров и услуг ООО «Сентябрь» за 9 месяцев текущего года составила 18 796 тыс. руб.</w:t>
      </w:r>
    </w:p>
    <w:p w14:paraId="2F82E438"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Объем среднемесячной выручки составляет 2 755,11 тыс. руб.</w:t>
      </w:r>
    </w:p>
    <w:p w14:paraId="4B79F26A"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Деятельность ООО «Сентябрь» прибыльна – чистая прибыль положительна в течение всего рассматриваемого периода.</w:t>
      </w:r>
    </w:p>
    <w:p w14:paraId="20559D9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Предприятие платежеспособно. Коэффициент текущей ликвидности на протяжении всего периода стабилен и составляет 0,96 - 1,36, что говорит о способности заемщика погасить краткосрочные обязательства на 100 %, реализовав текущие активы.</w:t>
      </w:r>
    </w:p>
    <w:p w14:paraId="0F8B2523"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 протяжении всего анализируемого периода чистые активы положительны, что характеризует финансовое состояние ООО «Сентябрь» как хорошее. За последний период произошло снижение чистых активов, в связи с сокращением статьи баланса «Доходы будущих период», это связано со спецификой деятельности ООО «Сентябрь», а именно с закрытием сделок, по которым имущество стояло на балансе.</w:t>
      </w:r>
    </w:p>
    <w:p w14:paraId="681C788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Коэффициент абсолютной ликвидности показывает возможность погасить краткосрочную задолженность за счет самых ликвидных ресурсов, к которым относятся денежные средства и государственные ценные бумаги. На отчетную дату денежные средства на счетах ООО «Сентябрь» снизились, поэтому коэффициент абсолютной ликвидности имеет низкое значение.</w:t>
      </w:r>
    </w:p>
    <w:p w14:paraId="27495B9E"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Промежуточный коэффициент покрытия характеризует способность оперативно высвободить из хозяйственного оборота денежные средства и погасить краткосрочные обязательства. Значение показателя 1,092 позволяет оценить финансовое состояние ООО «Сентябрь» как хорошее.</w:t>
      </w:r>
    </w:p>
    <w:p w14:paraId="444C7E2F"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Коэффициенты, рассчитанные для определения финансового состояния ООО «Сентябрь» приведены в таблице 6:</w:t>
      </w:r>
    </w:p>
    <w:p w14:paraId="4591BD58" w14:textId="77777777" w:rsidR="001E25CD" w:rsidRPr="001E25CD" w:rsidRDefault="001E25CD" w:rsidP="001E25CD">
      <w:pPr>
        <w:widowControl/>
        <w:shd w:val="clear" w:color="auto" w:fill="FFFFFF"/>
        <w:autoSpaceDE/>
        <w:autoSpaceDN/>
        <w:spacing w:before="100" w:beforeAutospacing="1" w:line="360" w:lineRule="atLeast"/>
        <w:ind w:firstLine="709"/>
        <w:jc w:val="righ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Таблица 6</w:t>
      </w:r>
    </w:p>
    <w:p w14:paraId="0319C4DF" w14:textId="77777777" w:rsidR="001E25CD" w:rsidRPr="001E25CD" w:rsidRDefault="001E25CD" w:rsidP="001E25CD">
      <w:pPr>
        <w:widowControl/>
        <w:shd w:val="clear" w:color="auto" w:fill="FFFFFF"/>
        <w:autoSpaceDE/>
        <w:autoSpaceDN/>
        <w:spacing w:before="100" w:beforeAutospacing="1" w:line="360" w:lineRule="atLeast"/>
        <w:jc w:val="center"/>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Коэффициенты, определяющие финансовое состояние ООО «Сентябрь»</w:t>
      </w:r>
    </w:p>
    <w:tbl>
      <w:tblPr>
        <w:tblW w:w="9907" w:type="dxa"/>
        <w:tblCellSpacing w:w="0" w:type="dxa"/>
        <w:tblInd w:w="150" w:type="dxa"/>
        <w:tblBorders>
          <w:top w:val="outset" w:sz="6" w:space="0" w:color="000000"/>
          <w:left w:val="outset" w:sz="6" w:space="0" w:color="000000"/>
          <w:bottom w:val="outset" w:sz="6" w:space="0" w:color="000000"/>
          <w:right w:val="outset" w:sz="6" w:space="0" w:color="000000"/>
        </w:tblBorders>
        <w:shd w:val="clear" w:color="auto" w:fill="FFFFFF"/>
        <w:tblCellMar>
          <w:top w:w="120" w:type="dxa"/>
          <w:left w:w="120" w:type="dxa"/>
          <w:bottom w:w="120" w:type="dxa"/>
          <w:right w:w="120" w:type="dxa"/>
        </w:tblCellMar>
        <w:tblLook w:val="04A0" w:firstRow="1" w:lastRow="0" w:firstColumn="1" w:lastColumn="0" w:noHBand="0" w:noVBand="1"/>
      </w:tblPr>
      <w:tblGrid>
        <w:gridCol w:w="2452"/>
        <w:gridCol w:w="1501"/>
        <w:gridCol w:w="1843"/>
        <w:gridCol w:w="1984"/>
        <w:gridCol w:w="2127"/>
      </w:tblGrid>
      <w:tr w:rsidR="001E25CD" w:rsidRPr="001E25CD" w14:paraId="0AA83A3C" w14:textId="77777777" w:rsidTr="00652596">
        <w:trPr>
          <w:trHeight w:val="15"/>
          <w:tblCellSpacing w:w="0" w:type="dxa"/>
        </w:trPr>
        <w:tc>
          <w:tcPr>
            <w:tcW w:w="245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0EA241B5"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 </w:t>
            </w:r>
          </w:p>
        </w:tc>
        <w:tc>
          <w:tcPr>
            <w:tcW w:w="1501"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01BF740F"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01.01.2009</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28D40984"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01.04.2009</w:t>
            </w:r>
          </w:p>
        </w:tc>
        <w:tc>
          <w:tcPr>
            <w:tcW w:w="1984"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697DCAEB"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01.07.2009</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19DE9288"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01.10.2009</w:t>
            </w:r>
          </w:p>
        </w:tc>
      </w:tr>
      <w:tr w:rsidR="001E25CD" w:rsidRPr="001E25CD" w14:paraId="70179DC4" w14:textId="77777777" w:rsidTr="00652596">
        <w:trPr>
          <w:trHeight w:val="30"/>
          <w:tblCellSpacing w:w="0" w:type="dxa"/>
        </w:trPr>
        <w:tc>
          <w:tcPr>
            <w:tcW w:w="245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72CEC691" w14:textId="77777777" w:rsidR="001E25CD" w:rsidRPr="001E25CD" w:rsidRDefault="001E25CD" w:rsidP="001E25CD">
            <w:pPr>
              <w:widowControl/>
              <w:autoSpaceDE/>
              <w:autoSpaceDN/>
              <w:spacing w:before="100" w:before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Коэффициент абсолютной</w:t>
            </w:r>
          </w:p>
          <w:p w14:paraId="01A4A06A"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ликвидности</w:t>
            </w:r>
          </w:p>
        </w:tc>
        <w:tc>
          <w:tcPr>
            <w:tcW w:w="1501"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23AAC02D"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0.000176846</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689B44A1"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0.005575</w:t>
            </w:r>
          </w:p>
        </w:tc>
        <w:tc>
          <w:tcPr>
            <w:tcW w:w="1984"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27A4C85E"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0.0041721</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77A78148"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0.0003794</w:t>
            </w:r>
          </w:p>
        </w:tc>
      </w:tr>
      <w:tr w:rsidR="001E25CD" w:rsidRPr="001E25CD" w14:paraId="5D9026BC" w14:textId="77777777" w:rsidTr="00652596">
        <w:trPr>
          <w:trHeight w:val="30"/>
          <w:tblCellSpacing w:w="0" w:type="dxa"/>
        </w:trPr>
        <w:tc>
          <w:tcPr>
            <w:tcW w:w="245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550C56B9"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Промежуточный коэффициент покрытия</w:t>
            </w:r>
          </w:p>
        </w:tc>
        <w:tc>
          <w:tcPr>
            <w:tcW w:w="1501"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5567CE0C"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1.317329743</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0A589035"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1.1550369</w:t>
            </w:r>
          </w:p>
        </w:tc>
        <w:tc>
          <w:tcPr>
            <w:tcW w:w="1984"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02A0FFAC"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0.9502634</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757D28B9"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1.0921542</w:t>
            </w:r>
          </w:p>
        </w:tc>
      </w:tr>
      <w:tr w:rsidR="001E25CD" w:rsidRPr="001E25CD" w14:paraId="5562C0CA" w14:textId="77777777" w:rsidTr="00652596">
        <w:trPr>
          <w:trHeight w:val="30"/>
          <w:tblCellSpacing w:w="0" w:type="dxa"/>
        </w:trPr>
        <w:tc>
          <w:tcPr>
            <w:tcW w:w="245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7E2AEFDB"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Общий коэффициент покрытия</w:t>
            </w:r>
          </w:p>
        </w:tc>
        <w:tc>
          <w:tcPr>
            <w:tcW w:w="1501"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5040A489"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1.361381451</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5AF4FEE6"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1.2040407</w:t>
            </w:r>
          </w:p>
        </w:tc>
        <w:tc>
          <w:tcPr>
            <w:tcW w:w="1984"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03E3A350"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0.955887</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4EFCDACD"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1.1479155</w:t>
            </w:r>
          </w:p>
        </w:tc>
      </w:tr>
      <w:tr w:rsidR="001E25CD" w:rsidRPr="001E25CD" w14:paraId="66B9ECCC" w14:textId="77777777" w:rsidTr="00652596">
        <w:trPr>
          <w:trHeight w:val="30"/>
          <w:tblCellSpacing w:w="0" w:type="dxa"/>
        </w:trPr>
        <w:tc>
          <w:tcPr>
            <w:tcW w:w="245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488AE8D0"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Коэффициент финансовой автономии</w:t>
            </w:r>
          </w:p>
        </w:tc>
        <w:tc>
          <w:tcPr>
            <w:tcW w:w="1501"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14124ED4"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0.320698108</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1D66D7A3"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0.3362299</w:t>
            </w:r>
          </w:p>
        </w:tc>
        <w:tc>
          <w:tcPr>
            <w:tcW w:w="1984"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0D6B39AC"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0.2070064</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65902A76"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0.12983</w:t>
            </w:r>
          </w:p>
        </w:tc>
      </w:tr>
      <w:tr w:rsidR="001E25CD" w:rsidRPr="001E25CD" w14:paraId="64DBD417" w14:textId="77777777" w:rsidTr="00652596">
        <w:trPr>
          <w:trHeight w:val="15"/>
          <w:tblCellSpacing w:w="0" w:type="dxa"/>
        </w:trPr>
        <w:tc>
          <w:tcPr>
            <w:tcW w:w="2452"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05BE3896"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Рентабельность продукции</w:t>
            </w:r>
          </w:p>
        </w:tc>
        <w:tc>
          <w:tcPr>
            <w:tcW w:w="1501"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6D8D8A3D"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0.255984713</w:t>
            </w:r>
          </w:p>
        </w:tc>
        <w:tc>
          <w:tcPr>
            <w:tcW w:w="1843"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69FD2564"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0.1341544</w:t>
            </w:r>
          </w:p>
        </w:tc>
        <w:tc>
          <w:tcPr>
            <w:tcW w:w="1984"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2F906870"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0.1669052</w:t>
            </w:r>
          </w:p>
        </w:tc>
        <w:tc>
          <w:tcPr>
            <w:tcW w:w="2127"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14:paraId="520354DF" w14:textId="77777777" w:rsidR="001E25CD" w:rsidRPr="001E25CD" w:rsidRDefault="001E25CD" w:rsidP="001E25CD">
            <w:pPr>
              <w:widowControl/>
              <w:autoSpaceDE/>
              <w:autoSpaceDN/>
              <w:spacing w:before="100" w:beforeAutospacing="1" w:after="100" w:afterAutospacing="1"/>
              <w:jc w:val="right"/>
              <w:rPr>
                <w:rFonts w:ascii="Georgia" w:eastAsia="Times New Roman" w:hAnsi="Georgia" w:cs="Times New Roman"/>
                <w:sz w:val="18"/>
                <w:szCs w:val="18"/>
                <w:lang w:bidi="ar-SA"/>
              </w:rPr>
            </w:pPr>
            <w:r w:rsidRPr="001E25CD">
              <w:rPr>
                <w:rFonts w:ascii="Georgia" w:eastAsia="Times New Roman" w:hAnsi="Georgia" w:cs="Times New Roman"/>
                <w:sz w:val="18"/>
                <w:szCs w:val="18"/>
                <w:lang w:bidi="ar-SA"/>
              </w:rPr>
              <w:t>0.0994026</w:t>
            </w:r>
          </w:p>
        </w:tc>
      </w:tr>
    </w:tbl>
    <w:p w14:paraId="60645177"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Для реализации проекта по открытию нового мебельного салона компании необходимо взять кредит в размере 500.000 рублей.</w:t>
      </w:r>
    </w:p>
    <w:p w14:paraId="03963DA4"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Сумма расходов на открытие магазина включает в себя:</w:t>
      </w:r>
    </w:p>
    <w:p w14:paraId="35C77646" w14:textId="77777777" w:rsidR="001E25CD" w:rsidRPr="001E25CD" w:rsidRDefault="001E25CD" w:rsidP="001E25CD">
      <w:pPr>
        <w:widowControl/>
        <w:numPr>
          <w:ilvl w:val="0"/>
          <w:numId w:val="30"/>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затраты на проведение ремонтных работ – 300000 рублей;</w:t>
      </w:r>
    </w:p>
    <w:p w14:paraId="40113006" w14:textId="77777777" w:rsidR="001E25CD" w:rsidRPr="001E25CD" w:rsidRDefault="001E25CD" w:rsidP="001E25CD">
      <w:pPr>
        <w:widowControl/>
        <w:numPr>
          <w:ilvl w:val="0"/>
          <w:numId w:val="30"/>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затраты на проведение маркетинговых мероприятий – 120000 рублей;</w:t>
      </w:r>
    </w:p>
    <w:p w14:paraId="6E6C32CA" w14:textId="77777777" w:rsidR="001E25CD" w:rsidRPr="001E25CD" w:rsidRDefault="001E25CD" w:rsidP="001E25CD">
      <w:pPr>
        <w:widowControl/>
        <w:numPr>
          <w:ilvl w:val="0"/>
          <w:numId w:val="30"/>
        </w:numPr>
        <w:shd w:val="clear" w:color="auto" w:fill="FFFFFF"/>
        <w:autoSpaceDE/>
        <w:autoSpaceDN/>
        <w:spacing w:before="100" w:beforeAutospacing="1" w:line="360" w:lineRule="atLeas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затраты на привлечение нового персонала – 80000 рублей.</w:t>
      </w:r>
    </w:p>
    <w:p w14:paraId="47E55CB4"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Затраты на помещение в данной ситуации ограничиваются ремонтными работами, так как оно было приобретено заблаговременно. Изменения в организационной структуре компании не планируются, так как в настоящее время она полностью отвечает целям и задачам функционирования ООО «Сентябрь» (Приложение 10).</w:t>
      </w:r>
    </w:p>
    <w:p w14:paraId="45223FD4"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Кроме того, руководство компании планирует создать так называемый резервный фонд, целью которого станет покрытие чрезвычайных расходов. В настоящее время кредит на реализацию данного проекта одобрен в одном из кредитных учреждений города </w:t>
      </w:r>
      <w:proofErr w:type="spellStart"/>
      <w:r w:rsidRPr="001E25CD">
        <w:rPr>
          <w:rFonts w:ascii="Georgia" w:eastAsia="Times New Roman" w:hAnsi="Georgia" w:cs="Times New Roman"/>
          <w:color w:val="000000"/>
          <w:sz w:val="24"/>
          <w:szCs w:val="24"/>
          <w:lang w:bidi="ar-SA"/>
        </w:rPr>
        <w:t>Н.Новгорода</w:t>
      </w:r>
      <w:proofErr w:type="spellEnd"/>
      <w:r w:rsidRPr="001E25CD">
        <w:rPr>
          <w:rFonts w:ascii="Georgia" w:eastAsia="Times New Roman" w:hAnsi="Georgia" w:cs="Times New Roman"/>
          <w:color w:val="000000"/>
          <w:sz w:val="24"/>
          <w:szCs w:val="24"/>
          <w:lang w:bidi="ar-SA"/>
        </w:rPr>
        <w:t>.</w:t>
      </w:r>
    </w:p>
    <w:p w14:paraId="4DF78B12" w14:textId="128CA45F" w:rsidR="001E25CD" w:rsidRPr="001E25CD" w:rsidRDefault="001E25CD" w:rsidP="001E25CD">
      <w:pPr>
        <w:widowControl/>
        <w:shd w:val="clear" w:color="auto" w:fill="FFFFFF"/>
        <w:autoSpaceDE/>
        <w:autoSpaceDN/>
        <w:spacing w:before="100" w:beforeAutospacing="1" w:line="360" w:lineRule="atLeast"/>
        <w:ind w:firstLine="567"/>
        <w:jc w:val="center"/>
        <w:rPr>
          <w:rFonts w:ascii="Georgia" w:eastAsia="Times New Roman" w:hAnsi="Georgia" w:cs="Times New Roman"/>
          <w:color w:val="000000"/>
          <w:sz w:val="24"/>
          <w:szCs w:val="24"/>
          <w:lang w:bidi="ar-SA"/>
        </w:rPr>
      </w:pPr>
      <w:r w:rsidRPr="001E25CD">
        <w:rPr>
          <w:rFonts w:ascii="Georgia" w:eastAsia="Times New Roman" w:hAnsi="Georgia" w:cs="Times New Roman"/>
          <w:b/>
          <w:bCs/>
          <w:color w:val="000000"/>
          <w:sz w:val="24"/>
          <w:szCs w:val="24"/>
          <w:lang w:bidi="ar-SA"/>
        </w:rPr>
        <w:t>Оценка экономической эффективности</w:t>
      </w:r>
    </w:p>
    <w:p w14:paraId="2C9F1053"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В качестве основного показателя эффективности бизнес-плана принято рассматривать показатель точки безубыточности.</w:t>
      </w:r>
    </w:p>
    <w:p w14:paraId="6D42115F"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Размер прибылей и убытков в значительной степени зависит от уровня продаж, который обычно является величиной, трудно прогнозируемой с определенной точностью. Для того, чтобы знать, какой потребуется уровень продаж для достижения прибыльности предприятия, необходимо провести анализ безубыточности.</w:t>
      </w:r>
    </w:p>
    <w:p w14:paraId="1AA165D2"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Исходя из имеющихся данных, была определена точка безубыточности для ООО «Сентябрь». При этом учитывался объем реализации по всем наименованиям товара и соответственно усредненная цена.</w:t>
      </w:r>
    </w:p>
    <w:p w14:paraId="3CCBE9F4"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Расчет точки безубыточности в натуральном выражении рассчитывается по </w:t>
      </w:r>
      <w:proofErr w:type="gramStart"/>
      <w:r w:rsidRPr="001E25CD">
        <w:rPr>
          <w:rFonts w:ascii="Georgia" w:eastAsia="Times New Roman" w:hAnsi="Georgia" w:cs="Times New Roman"/>
          <w:color w:val="000000"/>
          <w:sz w:val="24"/>
          <w:szCs w:val="24"/>
          <w:lang w:bidi="ar-SA"/>
        </w:rPr>
        <w:t>формуле( 1</w:t>
      </w:r>
      <w:proofErr w:type="gramEnd"/>
      <w:r w:rsidRPr="001E25CD">
        <w:rPr>
          <w:rFonts w:ascii="Georgia" w:eastAsia="Times New Roman" w:hAnsi="Georgia" w:cs="Times New Roman"/>
          <w:color w:val="000000"/>
          <w:sz w:val="24"/>
          <w:szCs w:val="24"/>
          <w:lang w:bidi="ar-SA"/>
        </w:rPr>
        <w:t>):</w:t>
      </w:r>
    </w:p>
    <w:p w14:paraId="75DB061C" w14:textId="77777777" w:rsidR="001E25CD" w:rsidRPr="001E25CD" w:rsidRDefault="001E25CD" w:rsidP="001E25CD">
      <w:pPr>
        <w:widowControl/>
        <w:shd w:val="clear" w:color="auto" w:fill="FFFFFF"/>
        <w:autoSpaceDE/>
        <w:autoSpaceDN/>
        <w:spacing w:before="100" w:beforeAutospacing="1" w:line="360" w:lineRule="atLeast"/>
        <w:ind w:firstLine="567"/>
        <w:jc w:val="righ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Формула (1).</w:t>
      </w:r>
    </w:p>
    <w:p w14:paraId="6E866385" w14:textId="001B506B" w:rsidR="001E25CD" w:rsidRPr="001E25CD" w:rsidRDefault="001E25CD" w:rsidP="001E25CD">
      <w:pPr>
        <w:widowControl/>
        <w:shd w:val="clear" w:color="auto" w:fill="FFFFFF"/>
        <w:autoSpaceDE/>
        <w:autoSpaceDN/>
        <w:spacing w:before="100" w:beforeAutospacing="1"/>
        <w:ind w:firstLine="567"/>
        <w:jc w:val="center"/>
        <w:rPr>
          <w:rFonts w:ascii="Georgia" w:eastAsia="Times New Roman" w:hAnsi="Georgia" w:cs="Times New Roman"/>
          <w:color w:val="000000"/>
          <w:sz w:val="24"/>
          <w:szCs w:val="24"/>
          <w:lang w:bidi="ar-SA"/>
        </w:rPr>
      </w:pPr>
      <w:r w:rsidRPr="001E25CD">
        <w:rPr>
          <w:rFonts w:ascii="Georgia" w:eastAsia="Times New Roman" w:hAnsi="Georgia" w:cs="Times New Roman"/>
          <w:noProof/>
          <w:color w:val="000000"/>
          <w:sz w:val="24"/>
          <w:szCs w:val="24"/>
          <w:lang w:bidi="ar-SA"/>
        </w:rPr>
        <w:drawing>
          <wp:inline distT="0" distB="0" distL="0" distR="0" wp14:anchorId="7A1B7815" wp14:editId="67ECBCFE">
            <wp:extent cx="1933575" cy="1219200"/>
            <wp:effectExtent l="0" t="0" r="9525" b="0"/>
            <wp:docPr id="6" name="Рисунок 6" descr="https://works.doklad.ru/images/l9KJAlBLSW4/2caa07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orks.doklad.ru/images/l9KJAlBLSW4/2caa07a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219200"/>
                    </a:xfrm>
                    <a:prstGeom prst="rect">
                      <a:avLst/>
                    </a:prstGeom>
                    <a:noFill/>
                    <a:ln>
                      <a:noFill/>
                    </a:ln>
                  </pic:spPr>
                </pic:pic>
              </a:graphicData>
            </a:graphic>
          </wp:inline>
        </w:drawing>
      </w:r>
    </w:p>
    <w:p w14:paraId="34A4CF31"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Анализ полученных данных показал, что при выручке 2500000 руб. деятельность фирмы является безубыточной, при большей выручке она начинает получать прибыль.</w:t>
      </w:r>
    </w:p>
    <w:p w14:paraId="31AD579A"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На втором этапе оценки экономической эффективности проекта рассчитывают такие показатели как:</w:t>
      </w:r>
    </w:p>
    <w:p w14:paraId="62068FC0" w14:textId="77777777" w:rsidR="001E25CD" w:rsidRPr="001E25CD" w:rsidRDefault="001E25CD" w:rsidP="001E25CD">
      <w:pPr>
        <w:widowControl/>
        <w:shd w:val="clear" w:color="auto" w:fill="FFFFFF"/>
        <w:autoSpaceDE/>
        <w:autoSpaceDN/>
        <w:spacing w:before="100" w:beforeAutospacing="1" w:line="360" w:lineRule="atLeast"/>
        <w:ind w:firstLine="567"/>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Чистый дисконтированный доход рассчитывается по формуле (2):</w:t>
      </w:r>
    </w:p>
    <w:p w14:paraId="30C5ACAA" w14:textId="77777777" w:rsidR="001E25CD" w:rsidRPr="001E25CD" w:rsidRDefault="001E25CD" w:rsidP="001E25CD">
      <w:pPr>
        <w:widowControl/>
        <w:shd w:val="clear" w:color="auto" w:fill="FFFFFF"/>
        <w:autoSpaceDE/>
        <w:autoSpaceDN/>
        <w:spacing w:before="100" w:beforeAutospacing="1" w:line="360" w:lineRule="atLeast"/>
        <w:ind w:firstLine="567"/>
        <w:jc w:val="righ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Формула (2).</w:t>
      </w:r>
    </w:p>
    <w:p w14:paraId="2A7DCF86" w14:textId="3203505A" w:rsidR="001E25CD" w:rsidRPr="001E25CD" w:rsidRDefault="001E25CD" w:rsidP="001E25CD">
      <w:pPr>
        <w:widowControl/>
        <w:shd w:val="clear" w:color="auto" w:fill="FFFFFF"/>
        <w:autoSpaceDE/>
        <w:autoSpaceDN/>
        <w:spacing w:before="100" w:beforeAutospacing="1" w:line="360" w:lineRule="atLeast"/>
        <w:ind w:firstLine="567"/>
        <w:jc w:val="center"/>
        <w:rPr>
          <w:rFonts w:ascii="Georgia" w:eastAsia="Times New Roman" w:hAnsi="Georgia" w:cs="Times New Roman"/>
          <w:color w:val="000000"/>
          <w:sz w:val="24"/>
          <w:szCs w:val="24"/>
          <w:lang w:bidi="ar-SA"/>
        </w:rPr>
      </w:pPr>
      <w:r w:rsidRPr="001E25CD">
        <w:rPr>
          <w:rFonts w:ascii="Georgia" w:eastAsia="Times New Roman" w:hAnsi="Georgia" w:cs="Times New Roman"/>
          <w:noProof/>
          <w:color w:val="000000"/>
          <w:sz w:val="24"/>
          <w:szCs w:val="24"/>
          <w:lang w:bidi="ar-SA"/>
        </w:rPr>
        <w:drawing>
          <wp:inline distT="0" distB="0" distL="0" distR="0" wp14:anchorId="0ADAADCD" wp14:editId="41389044">
            <wp:extent cx="3524250" cy="647700"/>
            <wp:effectExtent l="0" t="0" r="0" b="0"/>
            <wp:docPr id="5" name="Рисунок 5" descr="https://works.doklad.ru/images/l9KJAlBLSW4/64866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orks.doklad.ru/images/l9KJAlBLSW4/64866de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p w14:paraId="378F1262" w14:textId="77777777" w:rsidR="001E25CD" w:rsidRPr="001E25CD" w:rsidRDefault="001E25CD" w:rsidP="001E25CD">
      <w:pPr>
        <w:widowControl/>
        <w:shd w:val="clear" w:color="auto" w:fill="FFFFFF"/>
        <w:autoSpaceDE/>
        <w:autoSpaceDN/>
        <w:spacing w:before="100" w:beforeAutospacing="1" w:line="360" w:lineRule="atLeast"/>
        <w:ind w:firstLine="567"/>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где </w:t>
      </w:r>
      <w:proofErr w:type="spellStart"/>
      <w:r w:rsidRPr="001E25CD">
        <w:rPr>
          <w:rFonts w:ascii="Georgia" w:eastAsia="Times New Roman" w:hAnsi="Georgia" w:cs="Times New Roman"/>
          <w:color w:val="000000"/>
          <w:sz w:val="24"/>
          <w:szCs w:val="24"/>
          <w:lang w:bidi="ar-SA"/>
        </w:rPr>
        <w:t>Bt</w:t>
      </w:r>
      <w:proofErr w:type="spellEnd"/>
      <w:r w:rsidRPr="001E25CD">
        <w:rPr>
          <w:rFonts w:ascii="Georgia" w:eastAsia="Times New Roman" w:hAnsi="Georgia" w:cs="Times New Roman"/>
          <w:color w:val="000000"/>
          <w:sz w:val="24"/>
          <w:szCs w:val="24"/>
          <w:lang w:bidi="ar-SA"/>
        </w:rPr>
        <w:t xml:space="preserve"> - выгоды проекта в год t</w:t>
      </w:r>
    </w:p>
    <w:p w14:paraId="06C1171E" w14:textId="77777777" w:rsidR="001E25CD" w:rsidRPr="001E25CD" w:rsidRDefault="001E25CD" w:rsidP="001E25CD">
      <w:pPr>
        <w:widowControl/>
        <w:shd w:val="clear" w:color="auto" w:fill="FFFFFF"/>
        <w:autoSpaceDE/>
        <w:autoSpaceDN/>
        <w:spacing w:before="100" w:beforeAutospacing="1" w:line="360" w:lineRule="atLeast"/>
        <w:ind w:firstLine="567"/>
        <w:rPr>
          <w:rFonts w:ascii="Georgia" w:eastAsia="Times New Roman" w:hAnsi="Georgia" w:cs="Times New Roman"/>
          <w:color w:val="000000"/>
          <w:sz w:val="24"/>
          <w:szCs w:val="24"/>
          <w:lang w:bidi="ar-SA"/>
        </w:rPr>
      </w:pPr>
      <w:proofErr w:type="spellStart"/>
      <w:r w:rsidRPr="001E25CD">
        <w:rPr>
          <w:rFonts w:ascii="Georgia" w:eastAsia="Times New Roman" w:hAnsi="Georgia" w:cs="Times New Roman"/>
          <w:color w:val="000000"/>
          <w:sz w:val="24"/>
          <w:szCs w:val="24"/>
          <w:lang w:bidi="ar-SA"/>
        </w:rPr>
        <w:t>Ct</w:t>
      </w:r>
      <w:proofErr w:type="spellEnd"/>
      <w:r w:rsidRPr="001E25CD">
        <w:rPr>
          <w:rFonts w:ascii="Georgia" w:eastAsia="Times New Roman" w:hAnsi="Georgia" w:cs="Times New Roman"/>
          <w:color w:val="000000"/>
          <w:sz w:val="24"/>
          <w:szCs w:val="24"/>
          <w:lang w:bidi="ar-SA"/>
        </w:rPr>
        <w:t xml:space="preserve"> - затраты проекта в год t</w:t>
      </w:r>
    </w:p>
    <w:p w14:paraId="38A08163" w14:textId="77777777" w:rsidR="001E25CD" w:rsidRPr="001E25CD" w:rsidRDefault="001E25CD" w:rsidP="001E25CD">
      <w:pPr>
        <w:widowControl/>
        <w:shd w:val="clear" w:color="auto" w:fill="FFFFFF"/>
        <w:autoSpaceDE/>
        <w:autoSpaceDN/>
        <w:spacing w:before="100" w:beforeAutospacing="1" w:line="360" w:lineRule="atLeast"/>
        <w:ind w:firstLine="567"/>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t = 1 ... n - годы жизни проекта</w:t>
      </w:r>
    </w:p>
    <w:p w14:paraId="0090823E"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Инвестору следует отдавать предпочтение только тем проектам, для которых NPV имеет положительное значение. Отрицательное же значение свидетельствует о неэффективности использования денежных средств: норма доходности меньше необходимой.</w:t>
      </w:r>
    </w:p>
    <w:p w14:paraId="42E13EBE" w14:textId="77777777" w:rsidR="001E25CD" w:rsidRPr="001E25CD" w:rsidRDefault="001E25CD" w:rsidP="001E25CD">
      <w:pPr>
        <w:widowControl/>
        <w:shd w:val="clear" w:color="auto" w:fill="FFFFFF"/>
        <w:autoSpaceDE/>
        <w:autoSpaceDN/>
        <w:spacing w:before="100" w:beforeAutospacing="1" w:line="360" w:lineRule="atLeast"/>
        <w:ind w:firstLine="567"/>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Индекс прибыльности.</w:t>
      </w:r>
    </w:p>
    <w:p w14:paraId="5630DE08"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Индекс прибыльности (</w:t>
      </w:r>
      <w:proofErr w:type="spellStart"/>
      <w:r w:rsidRPr="001E25CD">
        <w:rPr>
          <w:rFonts w:ascii="Georgia" w:eastAsia="Times New Roman" w:hAnsi="Georgia" w:cs="Times New Roman"/>
          <w:color w:val="000000"/>
          <w:sz w:val="24"/>
          <w:szCs w:val="24"/>
          <w:lang w:bidi="ar-SA"/>
        </w:rPr>
        <w:t>profitability</w:t>
      </w:r>
      <w:proofErr w:type="spellEnd"/>
      <w:r w:rsidRPr="001E25CD">
        <w:rPr>
          <w:rFonts w:ascii="Georgia" w:eastAsia="Times New Roman" w:hAnsi="Georgia" w:cs="Times New Roman"/>
          <w:color w:val="000000"/>
          <w:sz w:val="24"/>
          <w:szCs w:val="24"/>
          <w:lang w:bidi="ar-SA"/>
        </w:rPr>
        <w:t xml:space="preserve"> </w:t>
      </w:r>
      <w:proofErr w:type="spellStart"/>
      <w:r w:rsidRPr="001E25CD">
        <w:rPr>
          <w:rFonts w:ascii="Georgia" w:eastAsia="Times New Roman" w:hAnsi="Georgia" w:cs="Times New Roman"/>
          <w:color w:val="000000"/>
          <w:sz w:val="24"/>
          <w:szCs w:val="24"/>
          <w:lang w:bidi="ar-SA"/>
        </w:rPr>
        <w:t>index</w:t>
      </w:r>
      <w:proofErr w:type="spellEnd"/>
      <w:r w:rsidRPr="001E25CD">
        <w:rPr>
          <w:rFonts w:ascii="Georgia" w:eastAsia="Times New Roman" w:hAnsi="Georgia" w:cs="Times New Roman"/>
          <w:color w:val="000000"/>
          <w:sz w:val="24"/>
          <w:szCs w:val="24"/>
          <w:lang w:bidi="ar-SA"/>
        </w:rPr>
        <w:t>, PI) показывает относительную прибыльность проекта, или дисконтированную стоимость денежных поступлений от проекта в расчете на единицу вложений. Он рассчитывается путем деления чистых приведенных поступлений от проекта на стоимость первоначальных вложений:</w:t>
      </w:r>
    </w:p>
    <w:p w14:paraId="2BC2CA80" w14:textId="77777777" w:rsidR="001E25CD" w:rsidRPr="001E25CD" w:rsidRDefault="001E25CD" w:rsidP="001E25CD">
      <w:pPr>
        <w:widowControl/>
        <w:shd w:val="clear" w:color="auto" w:fill="FFFFFF"/>
        <w:autoSpaceDE/>
        <w:autoSpaceDN/>
        <w:spacing w:before="100" w:beforeAutospacing="1" w:line="360" w:lineRule="atLeast"/>
        <w:ind w:firstLine="567"/>
        <w:jc w:val="right"/>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lastRenderedPageBreak/>
        <w:t>Формула (3).</w:t>
      </w:r>
    </w:p>
    <w:p w14:paraId="6ADF520F" w14:textId="1EBB3F07" w:rsidR="001E25CD" w:rsidRPr="001E25CD" w:rsidRDefault="001E25CD" w:rsidP="001E25CD">
      <w:pPr>
        <w:widowControl/>
        <w:shd w:val="clear" w:color="auto" w:fill="FFFFFF"/>
        <w:autoSpaceDE/>
        <w:autoSpaceDN/>
        <w:spacing w:before="100" w:beforeAutospacing="1" w:line="360" w:lineRule="atLeast"/>
        <w:ind w:firstLine="567"/>
        <w:jc w:val="center"/>
        <w:rPr>
          <w:rFonts w:ascii="Georgia" w:eastAsia="Times New Roman" w:hAnsi="Georgia" w:cs="Times New Roman"/>
          <w:color w:val="000000"/>
          <w:sz w:val="24"/>
          <w:szCs w:val="24"/>
          <w:lang w:bidi="ar-SA"/>
        </w:rPr>
      </w:pPr>
      <w:r w:rsidRPr="001E25CD">
        <w:rPr>
          <w:rFonts w:ascii="Georgia" w:eastAsia="Times New Roman" w:hAnsi="Georgia" w:cs="Times New Roman"/>
          <w:noProof/>
          <w:color w:val="000000"/>
          <w:sz w:val="24"/>
          <w:szCs w:val="24"/>
          <w:lang w:bidi="ar-SA"/>
        </w:rPr>
        <w:drawing>
          <wp:inline distT="0" distB="0" distL="0" distR="0" wp14:anchorId="024A41CE" wp14:editId="1173B389">
            <wp:extent cx="1247775" cy="647700"/>
            <wp:effectExtent l="0" t="0" r="9525" b="0"/>
            <wp:docPr id="4" name="Рисунок 4" descr="https://works.doklad.ru/images/l9KJAlBLSW4/m3a075f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orks.doklad.ru/images/l9KJAlBLSW4/m3a075f8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a:graphicData>
            </a:graphic>
          </wp:inline>
        </w:drawing>
      </w:r>
    </w:p>
    <w:p w14:paraId="145C072F" w14:textId="77777777" w:rsidR="001E25CD" w:rsidRPr="001E25CD" w:rsidRDefault="001E25CD" w:rsidP="001E25CD">
      <w:pPr>
        <w:widowControl/>
        <w:shd w:val="clear" w:color="auto" w:fill="FFFFFF"/>
        <w:autoSpaceDE/>
        <w:autoSpaceDN/>
        <w:spacing w:before="100" w:beforeAutospacing="1" w:line="360" w:lineRule="atLeast"/>
        <w:ind w:firstLine="567"/>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где: NPV - чистые приведенные денежные потоки проекта;</w:t>
      </w:r>
    </w:p>
    <w:p w14:paraId="298C41C2" w14:textId="77777777" w:rsidR="001E25CD" w:rsidRPr="001E25CD" w:rsidRDefault="001E25CD" w:rsidP="001E25CD">
      <w:pPr>
        <w:widowControl/>
        <w:shd w:val="clear" w:color="auto" w:fill="FFFFFF"/>
        <w:autoSpaceDE/>
        <w:autoSpaceDN/>
        <w:spacing w:before="100" w:beforeAutospacing="1" w:line="360" w:lineRule="atLeast"/>
        <w:ind w:firstLine="567"/>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Со - первоначальные затраты.</w:t>
      </w:r>
    </w:p>
    <w:p w14:paraId="04C38559"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proofErr w:type="gramStart"/>
      <w:r w:rsidRPr="001E25CD">
        <w:rPr>
          <w:rFonts w:ascii="Georgia" w:eastAsia="Times New Roman" w:hAnsi="Georgia" w:cs="Times New Roman"/>
          <w:color w:val="000000"/>
          <w:sz w:val="24"/>
          <w:szCs w:val="24"/>
          <w:lang w:bidi="ar-SA"/>
        </w:rPr>
        <w:t>Внутренняя норма рентабельности это</w:t>
      </w:r>
      <w:proofErr w:type="gramEnd"/>
      <w:r w:rsidRPr="001E25CD">
        <w:rPr>
          <w:rFonts w:ascii="Georgia" w:eastAsia="Times New Roman" w:hAnsi="Georgia" w:cs="Times New Roman"/>
          <w:color w:val="000000"/>
          <w:sz w:val="24"/>
          <w:szCs w:val="24"/>
          <w:lang w:bidi="ar-SA"/>
        </w:rPr>
        <w:t xml:space="preserve"> показатель, при котором NPV=0. В этой точке дисконтированный поток затрат равен дисконтированному потоку выгод. Она имеет конкретный экономический смысл дисконтированной «точки безубыточности» и называется внутренней нормой рентабельности, или, сокращенно, IRR.</w:t>
      </w:r>
    </w:p>
    <w:p w14:paraId="5BDF60F3"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Оценка эффективности для проекта создания мебельного магазина ООО «Сентябрь» произведена на основании интегральных показателей, отражающих экономическую эффективность, которую намечается достигнуть в результате его реализации. Принятый в расчетах эффективности проекта коэффициент дисконтирования (норма дисконта) равен 0,15 (15%).</w:t>
      </w:r>
    </w:p>
    <w:p w14:paraId="23973E45"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Анализ экономической эффективности проекта показывает, что проект особо остро реагирует на изменение цены реализации. Если цена снизиться только на 20% по сравнению с ожидаемой, то проект уже в типичном производственном периоде вступит в зону убытков. Так что анализ безубыточности позволяет сделать вывод о самом большом риске связанным с ценой.</w:t>
      </w:r>
    </w:p>
    <w:p w14:paraId="7C3C976F"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Не так чувствителен проект в отношении предполагаемого сбыта, а </w:t>
      </w:r>
      <w:proofErr w:type="gramStart"/>
      <w:r w:rsidRPr="001E25CD">
        <w:rPr>
          <w:rFonts w:ascii="Georgia" w:eastAsia="Times New Roman" w:hAnsi="Georgia" w:cs="Times New Roman"/>
          <w:color w:val="000000"/>
          <w:sz w:val="24"/>
          <w:szCs w:val="24"/>
          <w:lang w:bidi="ar-SA"/>
        </w:rPr>
        <w:t>так же</w:t>
      </w:r>
      <w:proofErr w:type="gramEnd"/>
      <w:r w:rsidRPr="001E25CD">
        <w:rPr>
          <w:rFonts w:ascii="Georgia" w:eastAsia="Times New Roman" w:hAnsi="Georgia" w:cs="Times New Roman"/>
          <w:color w:val="000000"/>
          <w:sz w:val="24"/>
          <w:szCs w:val="24"/>
          <w:lang w:bidi="ar-SA"/>
        </w:rPr>
        <w:t xml:space="preserve"> постоянных и переменных затрат. Объем спроса может быть на четверть меньше запланированного, пока проект не вступит в зону убытков. Переменные затраты могут быть на 20% выше, чем ожидалось, а постоянные затраты выше на 30%.</w:t>
      </w:r>
    </w:p>
    <w:p w14:paraId="3B8A6A45" w14:textId="77777777" w:rsidR="001E25CD" w:rsidRPr="001E25CD" w:rsidRDefault="001E25CD" w:rsidP="001E25CD">
      <w:pPr>
        <w:widowControl/>
        <w:shd w:val="clear" w:color="auto" w:fill="FFFFFF"/>
        <w:autoSpaceDE/>
        <w:autoSpaceDN/>
        <w:spacing w:before="100" w:beforeAutospacing="1" w:line="360" w:lineRule="atLeast"/>
        <w:ind w:firstLine="720"/>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Таким образом, ликвидность проекта обеспечена, т.е. кумулятивный чистый денежный поток в течение всей плановой фазы не отрицателен.</w:t>
      </w:r>
    </w:p>
    <w:p w14:paraId="481BB71A"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Срок окупаемости проекта составит при начальной ежемесячной прибыли магазина (350.000 руб.) составит 2 месяца. Относительно небольшой период окупаемости обусловлен тем, что первоначальные вложения составили 500.000 руб.</w:t>
      </w:r>
    </w:p>
    <w:p w14:paraId="6A4C38B5" w14:textId="388A961F" w:rsidR="001E25CD" w:rsidRPr="001E25CD" w:rsidRDefault="001E25CD" w:rsidP="001E25CD">
      <w:pPr>
        <w:widowControl/>
        <w:shd w:val="clear" w:color="auto" w:fill="FFFFFF"/>
        <w:autoSpaceDE/>
        <w:autoSpaceDN/>
        <w:spacing w:before="100" w:beforeAutospacing="1" w:line="360" w:lineRule="atLeast"/>
        <w:ind w:firstLine="709"/>
        <w:jc w:val="center"/>
        <w:rPr>
          <w:rFonts w:ascii="Georgia" w:eastAsia="Times New Roman" w:hAnsi="Georgia" w:cs="Times New Roman"/>
          <w:color w:val="000000"/>
          <w:sz w:val="24"/>
          <w:szCs w:val="24"/>
          <w:lang w:bidi="ar-SA"/>
        </w:rPr>
      </w:pPr>
      <w:bookmarkStart w:id="0" w:name="_GoBack"/>
      <w:bookmarkEnd w:id="0"/>
      <w:r w:rsidRPr="001E25CD">
        <w:rPr>
          <w:rFonts w:ascii="Georgia" w:eastAsia="Times New Roman" w:hAnsi="Georgia" w:cs="Times New Roman"/>
          <w:b/>
          <w:bCs/>
          <w:color w:val="000000"/>
          <w:sz w:val="24"/>
          <w:szCs w:val="24"/>
          <w:lang w:bidi="ar-SA"/>
        </w:rPr>
        <w:t>Анализ рисков проекта</w:t>
      </w:r>
    </w:p>
    <w:p w14:paraId="092876E9"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При анализе данного проекта были выявлены следующие типы рисков.</w:t>
      </w:r>
    </w:p>
    <w:p w14:paraId="7066857C"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Маркетинговый риск - это риск </w:t>
      </w:r>
      <w:proofErr w:type="spellStart"/>
      <w:r w:rsidRPr="001E25CD">
        <w:rPr>
          <w:rFonts w:ascii="Georgia" w:eastAsia="Times New Roman" w:hAnsi="Georgia" w:cs="Times New Roman"/>
          <w:color w:val="000000"/>
          <w:sz w:val="24"/>
          <w:szCs w:val="24"/>
          <w:lang w:bidi="ar-SA"/>
        </w:rPr>
        <w:t>недополучения</w:t>
      </w:r>
      <w:proofErr w:type="spellEnd"/>
      <w:r w:rsidRPr="001E25CD">
        <w:rPr>
          <w:rFonts w:ascii="Georgia" w:eastAsia="Times New Roman" w:hAnsi="Georgia" w:cs="Times New Roman"/>
          <w:color w:val="000000"/>
          <w:sz w:val="24"/>
          <w:szCs w:val="24"/>
          <w:lang w:bidi="ar-SA"/>
        </w:rPr>
        <w:t xml:space="preserve"> прибыли в результате снижения объема реализации или цены товара. Этот риск является одним из наиболее значимых для проекта. Причиной его возникновения может быть неприятие нового продукта рынком или слишком оптимистическая оценка будущего объема продаж. Ошибки в </w:t>
      </w:r>
      <w:r w:rsidRPr="001E25CD">
        <w:rPr>
          <w:rFonts w:ascii="Georgia" w:eastAsia="Times New Roman" w:hAnsi="Georgia" w:cs="Times New Roman"/>
          <w:color w:val="000000"/>
          <w:sz w:val="24"/>
          <w:szCs w:val="24"/>
          <w:lang w:bidi="ar-SA"/>
        </w:rPr>
        <w:lastRenderedPageBreak/>
        <w:t xml:space="preserve">планировании маркетинговой стратегии возникают главным образом из-за недостаточного изучения потребностей рынка: неправильного позиционирования товара, неверной оценки конкурентоспособности рынка или неправильного ценообразования. Также к возникновению риска могут привести ошибки в политике продвижения, </w:t>
      </w:r>
      <w:proofErr w:type="gramStart"/>
      <w:r w:rsidRPr="001E25CD">
        <w:rPr>
          <w:rFonts w:ascii="Georgia" w:eastAsia="Times New Roman" w:hAnsi="Georgia" w:cs="Times New Roman"/>
          <w:color w:val="000000"/>
          <w:sz w:val="24"/>
          <w:szCs w:val="24"/>
          <w:lang w:bidi="ar-SA"/>
        </w:rPr>
        <w:t>например</w:t>
      </w:r>
      <w:proofErr w:type="gramEnd"/>
      <w:r w:rsidRPr="001E25CD">
        <w:rPr>
          <w:rFonts w:ascii="Georgia" w:eastAsia="Times New Roman" w:hAnsi="Georgia" w:cs="Times New Roman"/>
          <w:color w:val="000000"/>
          <w:sz w:val="24"/>
          <w:szCs w:val="24"/>
          <w:lang w:bidi="ar-SA"/>
        </w:rPr>
        <w:t xml:space="preserve"> выбор неправильного способа продвижения, недостаточный бюджет продвижения и т. д. Избежать данного риска можно лишь при постоянном отслеживании ситуации на рынке и корректировке маркетинговых действий.</w:t>
      </w:r>
    </w:p>
    <w:p w14:paraId="281BD2C5"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Риски несоблюдения графика и превышения бюджета проекта – еще один вид рисков, который может возникнуть при реализации проекта. Причины возникновения таких рисков могут быть объективными (например, изменение таможенного законодательства в момент </w:t>
      </w:r>
      <w:proofErr w:type="spellStart"/>
      <w:r w:rsidRPr="001E25CD">
        <w:rPr>
          <w:rFonts w:ascii="Georgia" w:eastAsia="Times New Roman" w:hAnsi="Georgia" w:cs="Times New Roman"/>
          <w:color w:val="000000"/>
          <w:sz w:val="24"/>
          <w:szCs w:val="24"/>
          <w:lang w:bidi="ar-SA"/>
        </w:rPr>
        <w:t>растаможивания</w:t>
      </w:r>
      <w:proofErr w:type="spellEnd"/>
      <w:r w:rsidRPr="001E25CD">
        <w:rPr>
          <w:rFonts w:ascii="Georgia" w:eastAsia="Times New Roman" w:hAnsi="Georgia" w:cs="Times New Roman"/>
          <w:color w:val="000000"/>
          <w:sz w:val="24"/>
          <w:szCs w:val="24"/>
          <w:lang w:bidi="ar-SA"/>
        </w:rPr>
        <w:t xml:space="preserve"> оборудования и, как следствие, задержка груза) и субъективными (например, недостаточная проработка и несогласованность работ по реализации проекта). Риск несоблюдения графика проекта приводит к увеличению срока его окупаемости как напрямую, так и за счет недополученной выручки. Во избежание этого риска необходимо реально просчитывать все сроки и финансовые аспекты проекта.</w:t>
      </w:r>
    </w:p>
    <w:p w14:paraId="4E71989F"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Риск уменьшения платежеспособности – следующий вид рисков. В результате этого события может уменьшиться объем продаж. Необходимо отметить, что объем продаж запланирован фирмой </w:t>
      </w:r>
      <w:proofErr w:type="spellStart"/>
      <w:r w:rsidRPr="001E25CD">
        <w:rPr>
          <w:rFonts w:ascii="Georgia" w:eastAsia="Times New Roman" w:hAnsi="Georgia" w:cs="Times New Roman"/>
          <w:color w:val="000000"/>
          <w:sz w:val="24"/>
          <w:szCs w:val="24"/>
          <w:lang w:bidi="ar-SA"/>
        </w:rPr>
        <w:t>по-минимому</w:t>
      </w:r>
      <w:proofErr w:type="spellEnd"/>
      <w:r w:rsidRPr="001E25CD">
        <w:rPr>
          <w:rFonts w:ascii="Georgia" w:eastAsia="Times New Roman" w:hAnsi="Georgia" w:cs="Times New Roman"/>
          <w:color w:val="000000"/>
          <w:sz w:val="24"/>
          <w:szCs w:val="24"/>
          <w:lang w:bidi="ar-SA"/>
        </w:rPr>
        <w:t>, поэтому вероятность того, что объем продаж будет меньше невелика. Цены у фирмы «Сентябрь» ниже, чем цены у конкурентов, поэтому в будущем уменьшение числа покупателей маловероятно.</w:t>
      </w:r>
    </w:p>
    <w:p w14:paraId="76F8E96B"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Риск появления конкурентов – это риск, возникновение которого трудно просчитать. При данном событии (если конкуренты появятся) необходимо будет улучшить качество продукции, поддерживать цены более низкими, чем цены у конкурентов, проводить более активно рекламную компанию.</w:t>
      </w:r>
    </w:p>
    <w:p w14:paraId="461FB006"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Риск роста цен на сырье, материалы – следующий вид рисков. Необходимо будет проводить мероприятия по снижению себестоимости за счет более рационального использования сырья и т.д. для того, чтобы избежать возникновения данного риска.</w:t>
      </w:r>
    </w:p>
    <w:p w14:paraId="48B09D49" w14:textId="77777777" w:rsidR="001E25CD" w:rsidRPr="001E25CD" w:rsidRDefault="001E25CD" w:rsidP="001E25CD">
      <w:pPr>
        <w:widowControl/>
        <w:shd w:val="clear" w:color="auto" w:fill="FFFFFF"/>
        <w:autoSpaceDE/>
        <w:autoSpaceDN/>
        <w:spacing w:before="100" w:beforeAutospacing="1" w:line="360" w:lineRule="atLeast"/>
        <w:ind w:firstLine="709"/>
        <w:rPr>
          <w:rFonts w:ascii="Georgia" w:eastAsia="Times New Roman" w:hAnsi="Georgia" w:cs="Times New Roman"/>
          <w:color w:val="000000"/>
          <w:sz w:val="24"/>
          <w:szCs w:val="24"/>
          <w:lang w:bidi="ar-SA"/>
        </w:rPr>
      </w:pPr>
      <w:r w:rsidRPr="001E25CD">
        <w:rPr>
          <w:rFonts w:ascii="Georgia" w:eastAsia="Times New Roman" w:hAnsi="Georgia" w:cs="Times New Roman"/>
          <w:color w:val="000000"/>
          <w:sz w:val="24"/>
          <w:szCs w:val="24"/>
          <w:lang w:bidi="ar-SA"/>
        </w:rPr>
        <w:t xml:space="preserve">Общеэкономические риски – последний вид рисков, с которым ООО «Сентябрь» может столкнуться при реализации проекта. К общеэкономическим относят риски, связанные с внешними по отношению к предприятию факторами, </w:t>
      </w:r>
      <w:proofErr w:type="gramStart"/>
      <w:r w:rsidRPr="001E25CD">
        <w:rPr>
          <w:rFonts w:ascii="Georgia" w:eastAsia="Times New Roman" w:hAnsi="Georgia" w:cs="Times New Roman"/>
          <w:color w:val="000000"/>
          <w:sz w:val="24"/>
          <w:szCs w:val="24"/>
          <w:lang w:bidi="ar-SA"/>
        </w:rPr>
        <w:t>например</w:t>
      </w:r>
      <w:proofErr w:type="gramEnd"/>
      <w:r w:rsidRPr="001E25CD">
        <w:rPr>
          <w:rFonts w:ascii="Georgia" w:eastAsia="Times New Roman" w:hAnsi="Georgia" w:cs="Times New Roman"/>
          <w:color w:val="000000"/>
          <w:sz w:val="24"/>
          <w:szCs w:val="24"/>
          <w:lang w:bidi="ar-SA"/>
        </w:rPr>
        <w:t xml:space="preserve"> риски изменения курсов валют и процентных ставок, усиления или ослабления инфляции. К таким рискам можно также отнести риск увеличения конкуренции в отрасли из-за общего развития экономики в стране и риск выхода на рынок новых игроков. В случае ООО «Сентябрь» будет велик валютный риск, так как часть оборудования и материалов закупается за границей</w:t>
      </w:r>
    </w:p>
    <w:p w14:paraId="224549C2" w14:textId="77777777" w:rsidR="001A7F97" w:rsidRDefault="001A7F97" w:rsidP="001A7F97">
      <w:pPr>
        <w:jc w:val="center"/>
        <w:rPr>
          <w:rFonts w:ascii="Georgia" w:hAnsi="Georgia"/>
          <w:sz w:val="28"/>
          <w:szCs w:val="28"/>
        </w:rPr>
      </w:pPr>
    </w:p>
    <w:sectPr w:rsidR="001A7F97">
      <w:pgSz w:w="11910" w:h="16840"/>
      <w:pgMar w:top="940" w:right="1000" w:bottom="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CA5"/>
    <w:multiLevelType w:val="multilevel"/>
    <w:tmpl w:val="4838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232"/>
    <w:multiLevelType w:val="multilevel"/>
    <w:tmpl w:val="410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45F77"/>
    <w:multiLevelType w:val="multilevel"/>
    <w:tmpl w:val="4860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E4990"/>
    <w:multiLevelType w:val="multilevel"/>
    <w:tmpl w:val="9AC8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05332"/>
    <w:multiLevelType w:val="multilevel"/>
    <w:tmpl w:val="C30A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C5489"/>
    <w:multiLevelType w:val="multilevel"/>
    <w:tmpl w:val="936C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C5316"/>
    <w:multiLevelType w:val="multilevel"/>
    <w:tmpl w:val="94BE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3662B"/>
    <w:multiLevelType w:val="multilevel"/>
    <w:tmpl w:val="B2B8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E1544"/>
    <w:multiLevelType w:val="multilevel"/>
    <w:tmpl w:val="04C6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72691"/>
    <w:multiLevelType w:val="multilevel"/>
    <w:tmpl w:val="AA4C9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D7AF1"/>
    <w:multiLevelType w:val="multilevel"/>
    <w:tmpl w:val="8D0C98E0"/>
    <w:lvl w:ilvl="0">
      <w:start w:val="1"/>
      <w:numFmt w:val="decimal"/>
      <w:lvlText w:val="%1."/>
      <w:lvlJc w:val="left"/>
      <w:pPr>
        <w:ind w:left="919" w:hanging="240"/>
      </w:pPr>
      <w:rPr>
        <w:rFonts w:hint="default"/>
        <w:w w:val="100"/>
        <w:lang w:val="ru-RU" w:eastAsia="ru-RU" w:bidi="ru-RU"/>
      </w:rPr>
    </w:lvl>
    <w:lvl w:ilvl="1">
      <w:start w:val="1"/>
      <w:numFmt w:val="decimal"/>
      <w:lvlText w:val="%1.%2."/>
      <w:lvlJc w:val="left"/>
      <w:pPr>
        <w:ind w:left="1099" w:hanging="420"/>
      </w:pPr>
      <w:rPr>
        <w:rFonts w:ascii="Calibri" w:eastAsia="Calibri" w:hAnsi="Calibri" w:cs="Calibri" w:hint="default"/>
        <w:w w:val="100"/>
        <w:sz w:val="24"/>
        <w:szCs w:val="24"/>
        <w:lang w:val="ru-RU" w:eastAsia="ru-RU" w:bidi="ru-RU"/>
      </w:rPr>
    </w:lvl>
    <w:lvl w:ilvl="2">
      <w:start w:val="1"/>
      <w:numFmt w:val="decimal"/>
      <w:lvlText w:val="%1.%2.%3"/>
      <w:lvlJc w:val="left"/>
      <w:pPr>
        <w:ind w:left="112" w:hanging="598"/>
      </w:pPr>
      <w:rPr>
        <w:rFonts w:ascii="Calibri" w:eastAsia="Calibri" w:hAnsi="Calibri" w:cs="Calibri" w:hint="default"/>
        <w:spacing w:val="-26"/>
        <w:w w:val="100"/>
        <w:sz w:val="24"/>
        <w:szCs w:val="24"/>
        <w:lang w:val="ru-RU" w:eastAsia="ru-RU" w:bidi="ru-RU"/>
      </w:rPr>
    </w:lvl>
    <w:lvl w:ilvl="3">
      <w:numFmt w:val="bullet"/>
      <w:lvlText w:val="•"/>
      <w:lvlJc w:val="left"/>
      <w:pPr>
        <w:ind w:left="1160" w:hanging="598"/>
      </w:pPr>
      <w:rPr>
        <w:rFonts w:hint="default"/>
        <w:lang w:val="ru-RU" w:eastAsia="ru-RU" w:bidi="ru-RU"/>
      </w:rPr>
    </w:lvl>
    <w:lvl w:ilvl="4">
      <w:numFmt w:val="bullet"/>
      <w:lvlText w:val="•"/>
      <w:lvlJc w:val="left"/>
      <w:pPr>
        <w:ind w:left="1240" w:hanging="598"/>
      </w:pPr>
      <w:rPr>
        <w:rFonts w:hint="default"/>
        <w:lang w:val="ru-RU" w:eastAsia="ru-RU" w:bidi="ru-RU"/>
      </w:rPr>
    </w:lvl>
    <w:lvl w:ilvl="5">
      <w:numFmt w:val="bullet"/>
      <w:lvlText w:val="•"/>
      <w:lvlJc w:val="left"/>
      <w:pPr>
        <w:ind w:left="2680" w:hanging="598"/>
      </w:pPr>
      <w:rPr>
        <w:rFonts w:hint="default"/>
        <w:lang w:val="ru-RU" w:eastAsia="ru-RU" w:bidi="ru-RU"/>
      </w:rPr>
    </w:lvl>
    <w:lvl w:ilvl="6">
      <w:numFmt w:val="bullet"/>
      <w:lvlText w:val="•"/>
      <w:lvlJc w:val="left"/>
      <w:pPr>
        <w:ind w:left="4121" w:hanging="598"/>
      </w:pPr>
      <w:rPr>
        <w:rFonts w:hint="default"/>
        <w:lang w:val="ru-RU" w:eastAsia="ru-RU" w:bidi="ru-RU"/>
      </w:rPr>
    </w:lvl>
    <w:lvl w:ilvl="7">
      <w:numFmt w:val="bullet"/>
      <w:lvlText w:val="•"/>
      <w:lvlJc w:val="left"/>
      <w:pPr>
        <w:ind w:left="5562" w:hanging="598"/>
      </w:pPr>
      <w:rPr>
        <w:rFonts w:hint="default"/>
        <w:lang w:val="ru-RU" w:eastAsia="ru-RU" w:bidi="ru-RU"/>
      </w:rPr>
    </w:lvl>
    <w:lvl w:ilvl="8">
      <w:numFmt w:val="bullet"/>
      <w:lvlText w:val="•"/>
      <w:lvlJc w:val="left"/>
      <w:pPr>
        <w:ind w:left="7003" w:hanging="598"/>
      </w:pPr>
      <w:rPr>
        <w:rFonts w:hint="default"/>
        <w:lang w:val="ru-RU" w:eastAsia="ru-RU" w:bidi="ru-RU"/>
      </w:rPr>
    </w:lvl>
  </w:abstractNum>
  <w:abstractNum w:abstractNumId="11" w15:restartNumberingAfterBreak="0">
    <w:nsid w:val="254E5A1B"/>
    <w:multiLevelType w:val="multilevel"/>
    <w:tmpl w:val="1F6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835A2"/>
    <w:multiLevelType w:val="multilevel"/>
    <w:tmpl w:val="7B00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C7433"/>
    <w:multiLevelType w:val="multilevel"/>
    <w:tmpl w:val="24C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0395B"/>
    <w:multiLevelType w:val="multilevel"/>
    <w:tmpl w:val="4B14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F3696"/>
    <w:multiLevelType w:val="multilevel"/>
    <w:tmpl w:val="9020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0764A"/>
    <w:multiLevelType w:val="multilevel"/>
    <w:tmpl w:val="67AC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72AA6"/>
    <w:multiLevelType w:val="multilevel"/>
    <w:tmpl w:val="9FF8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F6CA4"/>
    <w:multiLevelType w:val="multilevel"/>
    <w:tmpl w:val="6AB62C36"/>
    <w:lvl w:ilvl="0">
      <w:start w:val="3"/>
      <w:numFmt w:val="decimal"/>
      <w:lvlText w:val="%1"/>
      <w:lvlJc w:val="left"/>
      <w:pPr>
        <w:ind w:left="112" w:hanging="687"/>
      </w:pPr>
      <w:rPr>
        <w:rFonts w:hint="default"/>
        <w:lang w:val="ru-RU" w:eastAsia="ru-RU" w:bidi="ru-RU"/>
      </w:rPr>
    </w:lvl>
    <w:lvl w:ilvl="1">
      <w:start w:val="3"/>
      <w:numFmt w:val="decimal"/>
      <w:lvlText w:val="%1.%2"/>
      <w:lvlJc w:val="left"/>
      <w:pPr>
        <w:ind w:left="112" w:hanging="687"/>
      </w:pPr>
      <w:rPr>
        <w:rFonts w:hint="default"/>
        <w:lang w:val="ru-RU" w:eastAsia="ru-RU" w:bidi="ru-RU"/>
      </w:rPr>
    </w:lvl>
    <w:lvl w:ilvl="2">
      <w:start w:val="1"/>
      <w:numFmt w:val="decimal"/>
      <w:lvlText w:val="%1.%2.%3."/>
      <w:lvlJc w:val="left"/>
      <w:pPr>
        <w:ind w:left="112" w:hanging="687"/>
      </w:pPr>
      <w:rPr>
        <w:rFonts w:ascii="Calibri" w:eastAsia="Calibri" w:hAnsi="Calibri" w:cs="Calibri" w:hint="default"/>
        <w:spacing w:val="-26"/>
        <w:w w:val="100"/>
        <w:sz w:val="24"/>
        <w:szCs w:val="24"/>
        <w:lang w:val="ru-RU" w:eastAsia="ru-RU" w:bidi="ru-RU"/>
      </w:rPr>
    </w:lvl>
    <w:lvl w:ilvl="3">
      <w:numFmt w:val="bullet"/>
      <w:lvlText w:val="•"/>
      <w:lvlJc w:val="left"/>
      <w:pPr>
        <w:ind w:left="3049" w:hanging="687"/>
      </w:pPr>
      <w:rPr>
        <w:rFonts w:hint="default"/>
        <w:lang w:val="ru-RU" w:eastAsia="ru-RU" w:bidi="ru-RU"/>
      </w:rPr>
    </w:lvl>
    <w:lvl w:ilvl="4">
      <w:numFmt w:val="bullet"/>
      <w:lvlText w:val="•"/>
      <w:lvlJc w:val="left"/>
      <w:pPr>
        <w:ind w:left="4026" w:hanging="687"/>
      </w:pPr>
      <w:rPr>
        <w:rFonts w:hint="default"/>
        <w:lang w:val="ru-RU" w:eastAsia="ru-RU" w:bidi="ru-RU"/>
      </w:rPr>
    </w:lvl>
    <w:lvl w:ilvl="5">
      <w:numFmt w:val="bullet"/>
      <w:lvlText w:val="•"/>
      <w:lvlJc w:val="left"/>
      <w:pPr>
        <w:ind w:left="5002" w:hanging="687"/>
      </w:pPr>
      <w:rPr>
        <w:rFonts w:hint="default"/>
        <w:lang w:val="ru-RU" w:eastAsia="ru-RU" w:bidi="ru-RU"/>
      </w:rPr>
    </w:lvl>
    <w:lvl w:ilvl="6">
      <w:numFmt w:val="bullet"/>
      <w:lvlText w:val="•"/>
      <w:lvlJc w:val="left"/>
      <w:pPr>
        <w:ind w:left="5979" w:hanging="687"/>
      </w:pPr>
      <w:rPr>
        <w:rFonts w:hint="default"/>
        <w:lang w:val="ru-RU" w:eastAsia="ru-RU" w:bidi="ru-RU"/>
      </w:rPr>
    </w:lvl>
    <w:lvl w:ilvl="7">
      <w:numFmt w:val="bullet"/>
      <w:lvlText w:val="•"/>
      <w:lvlJc w:val="left"/>
      <w:pPr>
        <w:ind w:left="6955" w:hanging="687"/>
      </w:pPr>
      <w:rPr>
        <w:rFonts w:hint="default"/>
        <w:lang w:val="ru-RU" w:eastAsia="ru-RU" w:bidi="ru-RU"/>
      </w:rPr>
    </w:lvl>
    <w:lvl w:ilvl="8">
      <w:numFmt w:val="bullet"/>
      <w:lvlText w:val="•"/>
      <w:lvlJc w:val="left"/>
      <w:pPr>
        <w:ind w:left="7932" w:hanging="687"/>
      </w:pPr>
      <w:rPr>
        <w:rFonts w:hint="default"/>
        <w:lang w:val="ru-RU" w:eastAsia="ru-RU" w:bidi="ru-RU"/>
      </w:rPr>
    </w:lvl>
  </w:abstractNum>
  <w:abstractNum w:abstractNumId="19" w15:restartNumberingAfterBreak="0">
    <w:nsid w:val="515C0E35"/>
    <w:multiLevelType w:val="multilevel"/>
    <w:tmpl w:val="8C4C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21B56"/>
    <w:multiLevelType w:val="multilevel"/>
    <w:tmpl w:val="885A7296"/>
    <w:lvl w:ilvl="0">
      <w:start w:val="11"/>
      <w:numFmt w:val="decimal"/>
      <w:lvlText w:val="%1"/>
      <w:lvlJc w:val="left"/>
      <w:pPr>
        <w:ind w:left="112" w:hanging="772"/>
      </w:pPr>
      <w:rPr>
        <w:rFonts w:hint="default"/>
        <w:lang w:val="ru-RU" w:eastAsia="ru-RU" w:bidi="ru-RU"/>
      </w:rPr>
    </w:lvl>
    <w:lvl w:ilvl="1">
      <w:start w:val="3"/>
      <w:numFmt w:val="decimal"/>
      <w:lvlText w:val="%1.%2"/>
      <w:lvlJc w:val="left"/>
      <w:pPr>
        <w:ind w:left="112" w:hanging="772"/>
      </w:pPr>
      <w:rPr>
        <w:rFonts w:hint="default"/>
        <w:lang w:val="ru-RU" w:eastAsia="ru-RU" w:bidi="ru-RU"/>
      </w:rPr>
    </w:lvl>
    <w:lvl w:ilvl="2">
      <w:start w:val="1"/>
      <w:numFmt w:val="decimal"/>
      <w:lvlText w:val="%1.%2.%3."/>
      <w:lvlJc w:val="left"/>
      <w:pPr>
        <w:ind w:left="112" w:hanging="772"/>
      </w:pPr>
      <w:rPr>
        <w:rFonts w:ascii="Calibri" w:eastAsia="Calibri" w:hAnsi="Calibri" w:cs="Calibri" w:hint="default"/>
        <w:spacing w:val="-14"/>
        <w:w w:val="100"/>
        <w:sz w:val="24"/>
        <w:szCs w:val="24"/>
        <w:lang w:val="ru-RU" w:eastAsia="ru-RU" w:bidi="ru-RU"/>
      </w:rPr>
    </w:lvl>
    <w:lvl w:ilvl="3">
      <w:numFmt w:val="bullet"/>
      <w:lvlText w:val="•"/>
      <w:lvlJc w:val="left"/>
      <w:pPr>
        <w:ind w:left="3049" w:hanging="772"/>
      </w:pPr>
      <w:rPr>
        <w:rFonts w:hint="default"/>
        <w:lang w:val="ru-RU" w:eastAsia="ru-RU" w:bidi="ru-RU"/>
      </w:rPr>
    </w:lvl>
    <w:lvl w:ilvl="4">
      <w:numFmt w:val="bullet"/>
      <w:lvlText w:val="•"/>
      <w:lvlJc w:val="left"/>
      <w:pPr>
        <w:ind w:left="4026" w:hanging="772"/>
      </w:pPr>
      <w:rPr>
        <w:rFonts w:hint="default"/>
        <w:lang w:val="ru-RU" w:eastAsia="ru-RU" w:bidi="ru-RU"/>
      </w:rPr>
    </w:lvl>
    <w:lvl w:ilvl="5">
      <w:numFmt w:val="bullet"/>
      <w:lvlText w:val="•"/>
      <w:lvlJc w:val="left"/>
      <w:pPr>
        <w:ind w:left="5002" w:hanging="772"/>
      </w:pPr>
      <w:rPr>
        <w:rFonts w:hint="default"/>
        <w:lang w:val="ru-RU" w:eastAsia="ru-RU" w:bidi="ru-RU"/>
      </w:rPr>
    </w:lvl>
    <w:lvl w:ilvl="6">
      <w:numFmt w:val="bullet"/>
      <w:lvlText w:val="•"/>
      <w:lvlJc w:val="left"/>
      <w:pPr>
        <w:ind w:left="5979" w:hanging="772"/>
      </w:pPr>
      <w:rPr>
        <w:rFonts w:hint="default"/>
        <w:lang w:val="ru-RU" w:eastAsia="ru-RU" w:bidi="ru-RU"/>
      </w:rPr>
    </w:lvl>
    <w:lvl w:ilvl="7">
      <w:numFmt w:val="bullet"/>
      <w:lvlText w:val="•"/>
      <w:lvlJc w:val="left"/>
      <w:pPr>
        <w:ind w:left="6955" w:hanging="772"/>
      </w:pPr>
      <w:rPr>
        <w:rFonts w:hint="default"/>
        <w:lang w:val="ru-RU" w:eastAsia="ru-RU" w:bidi="ru-RU"/>
      </w:rPr>
    </w:lvl>
    <w:lvl w:ilvl="8">
      <w:numFmt w:val="bullet"/>
      <w:lvlText w:val="•"/>
      <w:lvlJc w:val="left"/>
      <w:pPr>
        <w:ind w:left="7932" w:hanging="772"/>
      </w:pPr>
      <w:rPr>
        <w:rFonts w:hint="default"/>
        <w:lang w:val="ru-RU" w:eastAsia="ru-RU" w:bidi="ru-RU"/>
      </w:rPr>
    </w:lvl>
  </w:abstractNum>
  <w:abstractNum w:abstractNumId="21" w15:restartNumberingAfterBreak="0">
    <w:nsid w:val="56430171"/>
    <w:multiLevelType w:val="multilevel"/>
    <w:tmpl w:val="13F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679FC"/>
    <w:multiLevelType w:val="multilevel"/>
    <w:tmpl w:val="247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C36E7"/>
    <w:multiLevelType w:val="multilevel"/>
    <w:tmpl w:val="F97A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C57E8B"/>
    <w:multiLevelType w:val="multilevel"/>
    <w:tmpl w:val="E6C0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811A9"/>
    <w:multiLevelType w:val="multilevel"/>
    <w:tmpl w:val="547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93940"/>
    <w:multiLevelType w:val="multilevel"/>
    <w:tmpl w:val="0300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843DEE"/>
    <w:multiLevelType w:val="multilevel"/>
    <w:tmpl w:val="403C8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D26E2E"/>
    <w:multiLevelType w:val="multilevel"/>
    <w:tmpl w:val="5E3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5D3144"/>
    <w:multiLevelType w:val="multilevel"/>
    <w:tmpl w:val="59AA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0"/>
  </w:num>
  <w:num w:numId="4">
    <w:abstractNumId w:val="3"/>
  </w:num>
  <w:num w:numId="5">
    <w:abstractNumId w:val="24"/>
  </w:num>
  <w:num w:numId="6">
    <w:abstractNumId w:val="7"/>
  </w:num>
  <w:num w:numId="7">
    <w:abstractNumId w:val="26"/>
  </w:num>
  <w:num w:numId="8">
    <w:abstractNumId w:val="16"/>
  </w:num>
  <w:num w:numId="9">
    <w:abstractNumId w:val="28"/>
  </w:num>
  <w:num w:numId="10">
    <w:abstractNumId w:val="9"/>
  </w:num>
  <w:num w:numId="11">
    <w:abstractNumId w:val="15"/>
  </w:num>
  <w:num w:numId="12">
    <w:abstractNumId w:val="5"/>
  </w:num>
  <w:num w:numId="13">
    <w:abstractNumId w:val="27"/>
  </w:num>
  <w:num w:numId="14">
    <w:abstractNumId w:val="1"/>
  </w:num>
  <w:num w:numId="15">
    <w:abstractNumId w:val="12"/>
  </w:num>
  <w:num w:numId="16">
    <w:abstractNumId w:val="0"/>
  </w:num>
  <w:num w:numId="17">
    <w:abstractNumId w:val="22"/>
  </w:num>
  <w:num w:numId="18">
    <w:abstractNumId w:val="23"/>
  </w:num>
  <w:num w:numId="19">
    <w:abstractNumId w:val="8"/>
  </w:num>
  <w:num w:numId="20">
    <w:abstractNumId w:val="4"/>
  </w:num>
  <w:num w:numId="21">
    <w:abstractNumId w:val="25"/>
  </w:num>
  <w:num w:numId="22">
    <w:abstractNumId w:val="29"/>
  </w:num>
  <w:num w:numId="23">
    <w:abstractNumId w:val="2"/>
  </w:num>
  <w:num w:numId="24">
    <w:abstractNumId w:val="17"/>
  </w:num>
  <w:num w:numId="25">
    <w:abstractNumId w:val="13"/>
  </w:num>
  <w:num w:numId="26">
    <w:abstractNumId w:val="11"/>
  </w:num>
  <w:num w:numId="27">
    <w:abstractNumId w:val="21"/>
  </w:num>
  <w:num w:numId="28">
    <w:abstractNumId w:val="14"/>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A"/>
    <w:rsid w:val="001A7F97"/>
    <w:rsid w:val="001E25CD"/>
    <w:rsid w:val="002D3B4C"/>
    <w:rsid w:val="002D3EB5"/>
    <w:rsid w:val="00314BCD"/>
    <w:rsid w:val="00356D1B"/>
    <w:rsid w:val="00443EAA"/>
    <w:rsid w:val="005F06DC"/>
    <w:rsid w:val="00613095"/>
    <w:rsid w:val="00652596"/>
    <w:rsid w:val="00721408"/>
    <w:rsid w:val="00802B8F"/>
    <w:rsid w:val="00876BAA"/>
    <w:rsid w:val="00890F84"/>
    <w:rsid w:val="00897DE7"/>
    <w:rsid w:val="00986FAF"/>
    <w:rsid w:val="00A12DAC"/>
    <w:rsid w:val="00A35B05"/>
    <w:rsid w:val="00A64CF3"/>
    <w:rsid w:val="00A70750"/>
    <w:rsid w:val="00AB084E"/>
    <w:rsid w:val="00BC3D8F"/>
    <w:rsid w:val="00C13C77"/>
    <w:rsid w:val="00D41306"/>
    <w:rsid w:val="00F42B02"/>
    <w:rsid w:val="00F8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B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921" w:hanging="24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rPr>
      <w:rFonts w:ascii="Microsoft Sans Serif" w:eastAsia="Microsoft Sans Serif" w:hAnsi="Microsoft Sans Serif" w:cs="Microsoft Sans Serif"/>
    </w:rPr>
  </w:style>
  <w:style w:type="paragraph" w:styleId="a5">
    <w:name w:val="Normal (Web)"/>
    <w:basedOn w:val="a"/>
    <w:uiPriority w:val="99"/>
    <w:unhideWhenUsed/>
    <w:rsid w:val="00A35B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6">
    <w:name w:val="Strong"/>
    <w:basedOn w:val="a0"/>
    <w:uiPriority w:val="22"/>
    <w:qFormat/>
    <w:rsid w:val="00986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2795">
      <w:bodyDiv w:val="1"/>
      <w:marLeft w:val="0"/>
      <w:marRight w:val="0"/>
      <w:marTop w:val="0"/>
      <w:marBottom w:val="0"/>
      <w:divBdr>
        <w:top w:val="none" w:sz="0" w:space="0" w:color="auto"/>
        <w:left w:val="none" w:sz="0" w:space="0" w:color="auto"/>
        <w:bottom w:val="none" w:sz="0" w:space="0" w:color="auto"/>
        <w:right w:val="none" w:sz="0" w:space="0" w:color="auto"/>
      </w:divBdr>
    </w:div>
    <w:div w:id="729304686">
      <w:bodyDiv w:val="1"/>
      <w:marLeft w:val="0"/>
      <w:marRight w:val="0"/>
      <w:marTop w:val="0"/>
      <w:marBottom w:val="0"/>
      <w:divBdr>
        <w:top w:val="none" w:sz="0" w:space="0" w:color="auto"/>
        <w:left w:val="none" w:sz="0" w:space="0" w:color="auto"/>
        <w:bottom w:val="none" w:sz="0" w:space="0" w:color="auto"/>
        <w:right w:val="none" w:sz="0" w:space="0" w:color="auto"/>
      </w:divBdr>
    </w:div>
    <w:div w:id="936059811">
      <w:bodyDiv w:val="1"/>
      <w:marLeft w:val="0"/>
      <w:marRight w:val="0"/>
      <w:marTop w:val="0"/>
      <w:marBottom w:val="0"/>
      <w:divBdr>
        <w:top w:val="none" w:sz="0" w:space="0" w:color="auto"/>
        <w:left w:val="none" w:sz="0" w:space="0" w:color="auto"/>
        <w:bottom w:val="none" w:sz="0" w:space="0" w:color="auto"/>
        <w:right w:val="none" w:sz="0" w:space="0" w:color="auto"/>
      </w:divBdr>
    </w:div>
    <w:div w:id="1170832880">
      <w:bodyDiv w:val="1"/>
      <w:marLeft w:val="0"/>
      <w:marRight w:val="0"/>
      <w:marTop w:val="0"/>
      <w:marBottom w:val="0"/>
      <w:divBdr>
        <w:top w:val="none" w:sz="0" w:space="0" w:color="auto"/>
        <w:left w:val="none" w:sz="0" w:space="0" w:color="auto"/>
        <w:bottom w:val="none" w:sz="0" w:space="0" w:color="auto"/>
        <w:right w:val="none" w:sz="0" w:space="0" w:color="auto"/>
      </w:divBdr>
    </w:div>
    <w:div w:id="1367948924">
      <w:bodyDiv w:val="1"/>
      <w:marLeft w:val="0"/>
      <w:marRight w:val="0"/>
      <w:marTop w:val="0"/>
      <w:marBottom w:val="0"/>
      <w:divBdr>
        <w:top w:val="none" w:sz="0" w:space="0" w:color="auto"/>
        <w:left w:val="none" w:sz="0" w:space="0" w:color="auto"/>
        <w:bottom w:val="none" w:sz="0" w:space="0" w:color="auto"/>
        <w:right w:val="none" w:sz="0" w:space="0" w:color="auto"/>
      </w:divBdr>
    </w:div>
    <w:div w:id="1860468578">
      <w:bodyDiv w:val="1"/>
      <w:marLeft w:val="0"/>
      <w:marRight w:val="0"/>
      <w:marTop w:val="0"/>
      <w:marBottom w:val="0"/>
      <w:divBdr>
        <w:top w:val="none" w:sz="0" w:space="0" w:color="auto"/>
        <w:left w:val="none" w:sz="0" w:space="0" w:color="auto"/>
        <w:bottom w:val="none" w:sz="0" w:space="0" w:color="auto"/>
        <w:right w:val="none" w:sz="0" w:space="0" w:color="auto"/>
      </w:divBdr>
    </w:div>
    <w:div w:id="1874266272">
      <w:bodyDiv w:val="1"/>
      <w:marLeft w:val="0"/>
      <w:marRight w:val="0"/>
      <w:marTop w:val="0"/>
      <w:marBottom w:val="0"/>
      <w:divBdr>
        <w:top w:val="none" w:sz="0" w:space="0" w:color="auto"/>
        <w:left w:val="none" w:sz="0" w:space="0" w:color="auto"/>
        <w:bottom w:val="none" w:sz="0" w:space="0" w:color="auto"/>
        <w:right w:val="none" w:sz="0" w:space="0" w:color="auto"/>
      </w:divBdr>
      <w:divsChild>
        <w:div w:id="1177814718">
          <w:blockQuote w:val="1"/>
          <w:marLeft w:val="0"/>
          <w:marRight w:val="74"/>
          <w:marTop w:val="100"/>
          <w:marBottom w:val="100"/>
          <w:divBdr>
            <w:top w:val="none" w:sz="0" w:space="0" w:color="auto"/>
            <w:left w:val="none" w:sz="0" w:space="0" w:color="auto"/>
            <w:bottom w:val="none" w:sz="0" w:space="0" w:color="auto"/>
            <w:right w:val="none" w:sz="0" w:space="0" w:color="auto"/>
          </w:divBdr>
        </w:div>
        <w:div w:id="786968192">
          <w:blockQuote w:val="1"/>
          <w:marLeft w:val="0"/>
          <w:marRight w:val="74"/>
          <w:marTop w:val="100"/>
          <w:marBottom w:val="100"/>
          <w:divBdr>
            <w:top w:val="none" w:sz="0" w:space="0" w:color="auto"/>
            <w:left w:val="none" w:sz="0" w:space="0" w:color="auto"/>
            <w:bottom w:val="none" w:sz="0" w:space="0" w:color="auto"/>
            <w:right w:val="none" w:sz="0" w:space="0" w:color="auto"/>
          </w:divBdr>
        </w:div>
        <w:div w:id="194856644">
          <w:blockQuote w:val="1"/>
          <w:marLeft w:val="0"/>
          <w:marRight w:val="74"/>
          <w:marTop w:val="100"/>
          <w:marBottom w:val="100"/>
          <w:divBdr>
            <w:top w:val="none" w:sz="0" w:space="0" w:color="auto"/>
            <w:left w:val="none" w:sz="0" w:space="0" w:color="auto"/>
            <w:bottom w:val="none" w:sz="0" w:space="0" w:color="auto"/>
            <w:right w:val="none" w:sz="0" w:space="0" w:color="auto"/>
          </w:divBdr>
        </w:div>
        <w:div w:id="1857846145">
          <w:blockQuote w:val="1"/>
          <w:marLeft w:val="0"/>
          <w:marRight w:val="0"/>
          <w:marTop w:val="100"/>
          <w:marBottom w:val="100"/>
          <w:divBdr>
            <w:top w:val="none" w:sz="0" w:space="0" w:color="auto"/>
            <w:left w:val="none" w:sz="0" w:space="0" w:color="auto"/>
            <w:bottom w:val="none" w:sz="0" w:space="0" w:color="auto"/>
            <w:right w:val="none" w:sz="0" w:space="0" w:color="auto"/>
          </w:divBdr>
        </w:div>
        <w:div w:id="689262738">
          <w:blockQuote w:val="1"/>
          <w:marLeft w:val="0"/>
          <w:marRight w:val="74"/>
          <w:marTop w:val="100"/>
          <w:marBottom w:val="100"/>
          <w:divBdr>
            <w:top w:val="none" w:sz="0" w:space="0" w:color="auto"/>
            <w:left w:val="none" w:sz="0" w:space="0" w:color="auto"/>
            <w:bottom w:val="none" w:sz="0" w:space="0" w:color="auto"/>
            <w:right w:val="none" w:sz="0" w:space="0" w:color="auto"/>
          </w:divBdr>
        </w:div>
        <w:div w:id="471599874">
          <w:blockQuote w:val="1"/>
          <w:marLeft w:val="0"/>
          <w:marRight w:val="74"/>
          <w:marTop w:val="100"/>
          <w:marBottom w:val="100"/>
          <w:divBdr>
            <w:top w:val="none" w:sz="0" w:space="0" w:color="auto"/>
            <w:left w:val="none" w:sz="0" w:space="0" w:color="auto"/>
            <w:bottom w:val="none" w:sz="0" w:space="0" w:color="auto"/>
            <w:right w:val="none" w:sz="0" w:space="0" w:color="auto"/>
          </w:divBdr>
        </w:div>
        <w:div w:id="1164978861">
          <w:blockQuote w:val="1"/>
          <w:marLeft w:val="0"/>
          <w:marRight w:val="74"/>
          <w:marTop w:val="100"/>
          <w:marBottom w:val="100"/>
          <w:divBdr>
            <w:top w:val="none" w:sz="0" w:space="0" w:color="auto"/>
            <w:left w:val="none" w:sz="0" w:space="0" w:color="auto"/>
            <w:bottom w:val="none" w:sz="0" w:space="0" w:color="auto"/>
            <w:right w:val="none" w:sz="0" w:space="0" w:color="auto"/>
          </w:divBdr>
        </w:div>
        <w:div w:id="1195533422">
          <w:blockQuote w:val="1"/>
          <w:marLeft w:val="0"/>
          <w:marRight w:val="74"/>
          <w:marTop w:val="100"/>
          <w:marBottom w:val="100"/>
          <w:divBdr>
            <w:top w:val="none" w:sz="0" w:space="0" w:color="auto"/>
            <w:left w:val="none" w:sz="0" w:space="0" w:color="auto"/>
            <w:bottom w:val="none" w:sz="0" w:space="0" w:color="auto"/>
            <w:right w:val="none" w:sz="0" w:space="0" w:color="auto"/>
          </w:divBdr>
        </w:div>
        <w:div w:id="2003043426">
          <w:blockQuote w:val="1"/>
          <w:marLeft w:val="0"/>
          <w:marRight w:val="74"/>
          <w:marTop w:val="100"/>
          <w:marBottom w:val="100"/>
          <w:divBdr>
            <w:top w:val="none" w:sz="0" w:space="0" w:color="auto"/>
            <w:left w:val="none" w:sz="0" w:space="0" w:color="auto"/>
            <w:bottom w:val="none" w:sz="0" w:space="0" w:color="auto"/>
            <w:right w:val="none" w:sz="0" w:space="0" w:color="auto"/>
          </w:divBdr>
        </w:div>
        <w:div w:id="767312688">
          <w:blockQuote w:val="1"/>
          <w:marLeft w:val="0"/>
          <w:marRight w:val="74"/>
          <w:marTop w:val="100"/>
          <w:marBottom w:val="100"/>
          <w:divBdr>
            <w:top w:val="none" w:sz="0" w:space="0" w:color="auto"/>
            <w:left w:val="none" w:sz="0" w:space="0" w:color="auto"/>
            <w:bottom w:val="none" w:sz="0" w:space="0" w:color="auto"/>
            <w:right w:val="none" w:sz="0" w:space="0" w:color="auto"/>
          </w:divBdr>
        </w:div>
        <w:div w:id="486675053">
          <w:blockQuote w:val="1"/>
          <w:marLeft w:val="0"/>
          <w:marRight w:val="74"/>
          <w:marTop w:val="100"/>
          <w:marBottom w:val="100"/>
          <w:divBdr>
            <w:top w:val="none" w:sz="0" w:space="0" w:color="auto"/>
            <w:left w:val="none" w:sz="0" w:space="0" w:color="auto"/>
            <w:bottom w:val="none" w:sz="0" w:space="0" w:color="auto"/>
            <w:right w:val="none" w:sz="0" w:space="0" w:color="auto"/>
          </w:divBdr>
        </w:div>
        <w:div w:id="1913001838">
          <w:blockQuote w:val="1"/>
          <w:marLeft w:val="0"/>
          <w:marRight w:val="74"/>
          <w:marTop w:val="100"/>
          <w:marBottom w:val="100"/>
          <w:divBdr>
            <w:top w:val="none" w:sz="0" w:space="0" w:color="auto"/>
            <w:left w:val="none" w:sz="0" w:space="0" w:color="auto"/>
            <w:bottom w:val="none" w:sz="0" w:space="0" w:color="auto"/>
            <w:right w:val="none" w:sz="0" w:space="0" w:color="auto"/>
          </w:divBdr>
        </w:div>
        <w:div w:id="44716760">
          <w:blockQuote w:val="1"/>
          <w:marLeft w:val="0"/>
          <w:marRight w:val="74"/>
          <w:marTop w:val="100"/>
          <w:marBottom w:val="100"/>
          <w:divBdr>
            <w:top w:val="none" w:sz="0" w:space="0" w:color="auto"/>
            <w:left w:val="none" w:sz="0" w:space="0" w:color="auto"/>
            <w:bottom w:val="none" w:sz="0" w:space="0" w:color="auto"/>
            <w:right w:val="none" w:sz="0" w:space="0" w:color="auto"/>
          </w:divBdr>
        </w:div>
        <w:div w:id="996807642">
          <w:blockQuote w:val="1"/>
          <w:marLeft w:val="0"/>
          <w:marRight w:val="74"/>
          <w:marTop w:val="100"/>
          <w:marBottom w:val="100"/>
          <w:divBdr>
            <w:top w:val="none" w:sz="0" w:space="0" w:color="auto"/>
            <w:left w:val="none" w:sz="0" w:space="0" w:color="auto"/>
            <w:bottom w:val="none" w:sz="0" w:space="0" w:color="auto"/>
            <w:right w:val="none" w:sz="0" w:space="0" w:color="auto"/>
          </w:divBdr>
        </w:div>
        <w:div w:id="76248705">
          <w:blockQuote w:val="1"/>
          <w:marLeft w:val="720"/>
          <w:marRight w:val="74"/>
          <w:marTop w:val="100"/>
          <w:marBottom w:val="100"/>
          <w:divBdr>
            <w:top w:val="none" w:sz="0" w:space="0" w:color="auto"/>
            <w:left w:val="none" w:sz="0" w:space="0" w:color="auto"/>
            <w:bottom w:val="none" w:sz="0" w:space="0" w:color="auto"/>
            <w:right w:val="none" w:sz="0" w:space="0" w:color="auto"/>
          </w:divBdr>
        </w:div>
        <w:div w:id="1734422372">
          <w:blockQuote w:val="1"/>
          <w:marLeft w:val="720"/>
          <w:marRight w:val="74"/>
          <w:marTop w:val="100"/>
          <w:marBottom w:val="100"/>
          <w:divBdr>
            <w:top w:val="none" w:sz="0" w:space="0" w:color="auto"/>
            <w:left w:val="none" w:sz="0" w:space="0" w:color="auto"/>
            <w:bottom w:val="none" w:sz="0" w:space="0" w:color="auto"/>
            <w:right w:val="none" w:sz="0" w:space="0" w:color="auto"/>
          </w:divBdr>
        </w:div>
        <w:div w:id="810951338">
          <w:blockQuote w:val="1"/>
          <w:marLeft w:val="720"/>
          <w:marRight w:val="74"/>
          <w:marTop w:val="100"/>
          <w:marBottom w:val="100"/>
          <w:divBdr>
            <w:top w:val="none" w:sz="0" w:space="0" w:color="auto"/>
            <w:left w:val="none" w:sz="0" w:space="0" w:color="auto"/>
            <w:bottom w:val="none" w:sz="0" w:space="0" w:color="auto"/>
            <w:right w:val="none" w:sz="0" w:space="0" w:color="auto"/>
          </w:divBdr>
        </w:div>
        <w:div w:id="1851794038">
          <w:blockQuote w:val="1"/>
          <w:marLeft w:val="720"/>
          <w:marRight w:val="74"/>
          <w:marTop w:val="100"/>
          <w:marBottom w:val="100"/>
          <w:divBdr>
            <w:top w:val="none" w:sz="0" w:space="0" w:color="auto"/>
            <w:left w:val="none" w:sz="0" w:space="0" w:color="auto"/>
            <w:bottom w:val="none" w:sz="0" w:space="0" w:color="auto"/>
            <w:right w:val="none" w:sz="0" w:space="0" w:color="auto"/>
          </w:divBdr>
        </w:div>
      </w:divsChild>
    </w:div>
    <w:div w:id="202539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6560</Words>
  <Characters>37397</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Headings</vt:lpstr>
      </vt:variant>
      <vt:variant>
        <vt:i4>10</vt:i4>
      </vt:variant>
    </vt:vector>
  </HeadingPairs>
  <TitlesOfParts>
    <vt:vector size="11" baseType="lpstr">
      <vt:lpstr/>
      <vt:lpstr>/Обязательства Businessmens.ru</vt:lpstr>
      <vt:lpstr>Обязательство Пользователя</vt:lpstr>
      <vt:lpstr>Условия оплаты</vt:lpstr>
      <vt:lpstr>Срок действия и изменение условий оферты</vt:lpstr>
      <vt:lpstr>Срок действия и изменение договора оферты</vt:lpstr>
      <vt:lpstr>Расторжения договора оферты</vt:lpstr>
      <vt:lpstr>Гарантии</vt:lpstr>
      <vt:lpstr>/Ответственность и ограничение ответственности Businessmens.ru</vt:lpstr>
      <vt:lpstr>Ответственность пользователя</vt:lpstr>
      <vt:lpstr>Прочие условия</vt:lpstr>
    </vt:vector>
  </TitlesOfParts>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damir</cp:lastModifiedBy>
  <cp:revision>2</cp:revision>
  <cp:lastPrinted>2019-05-16T11:30:00Z</cp:lastPrinted>
  <dcterms:created xsi:type="dcterms:W3CDTF">2019-08-05T10:18:00Z</dcterms:created>
  <dcterms:modified xsi:type="dcterms:W3CDTF">2019-08-05T10:18:00Z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LastSaved">
    <vt:filetime>2019-03-12T00:00:00Z</vt:filetime>
  </property>
</Properties>
</file>